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CE" w:rsidRPr="00D940CA" w:rsidRDefault="004309CE" w:rsidP="004309CE">
      <w:pPr>
        <w:tabs>
          <w:tab w:val="left" w:pos="1760"/>
        </w:tabs>
        <w:rPr>
          <w:b/>
          <w:sz w:val="22"/>
          <w:szCs w:val="22"/>
          <w:rFonts w:ascii="Calibri" w:hAnsi="Calibri"/>
        </w:rPr>
      </w:pPr>
      <w:r>
        <w:rPr>
          <w:b/>
          <w:sz w:val="22"/>
          <w:szCs w:val="22"/>
          <w:rFonts w:ascii="Calibri" w:hAnsi="Calibri"/>
        </w:rPr>
        <w:t xml:space="preserve">Shtojca 2 - Oferta financiare (në zarf të veçantë)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sz w:val="22"/>
          <w:szCs w:val="22"/>
          <w:rFonts w:ascii="Calibri" w:hAnsi="Calibri" w:cs="Arial"/>
        </w:rPr>
      </w:pPr>
      <w:r>
        <w:rPr>
          <w:sz w:val="22"/>
          <w:szCs w:val="22"/>
          <w:rFonts w:ascii="Calibri" w:hAnsi="Calibri"/>
        </w:rPr>
        <w:t xml:space="preserve">Çmimi i përgjithshëm i ofertës sonë, duke përjashtuar çdo zbritje, është:</w:t>
      </w:r>
      <w:r>
        <w:rPr>
          <w:sz w:val="22"/>
          <w:szCs w:val="22"/>
          <w:rFonts w:ascii="Calibri" w:hAnsi="Calibri"/>
        </w:rPr>
        <w:t xml:space="preserve"> </w:t>
      </w:r>
      <w:r>
        <w:rPr>
          <w:sz w:val="22"/>
          <w:szCs w:val="22"/>
          <w:rFonts w:ascii="Calibri" w:hAnsi="Calibri"/>
        </w:rPr>
        <w:t xml:space="preserve">__________________________________________________________ (</w:t>
      </w:r>
      <w:r>
        <w:rPr>
          <w:sz w:val="22"/>
          <w:szCs w:val="22"/>
          <w:i/>
          <w:rFonts w:ascii="Calibri" w:hAnsi="Calibri"/>
        </w:rPr>
        <w:t xml:space="preserve">shënohet vlera e përgjithshme pa TVSH - projekti është i liruar nga pagesa e TVSH-së</w:t>
      </w:r>
      <w:r>
        <w:rPr>
          <w:sz w:val="22"/>
          <w:szCs w:val="22"/>
          <w:rFonts w:ascii="Calibri" w:hAnsi="Calibri"/>
        </w:rPr>
        <w:t xml:space="preserve">).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tabs>
          <w:tab w:val="left" w:pos="1760"/>
        </w:tabs>
        <w:jc w:val="both"/>
        <w:rPr>
          <w:sz w:val="22"/>
          <w:szCs w:val="22"/>
          <w:rFonts w:ascii="Calibri" w:hAnsi="Calibri"/>
        </w:rPr>
      </w:pPr>
      <w:r>
        <w:rPr>
          <w:sz w:val="22"/>
          <w:szCs w:val="22"/>
          <w:rFonts w:ascii="Calibri" w:hAnsi="Calibri"/>
        </w:rPr>
        <w:t xml:space="preserve">Ofrojmë kryerjen e shërbimeve sipas ofertës tonë financiare të dhënë në tabelë:</w:t>
      </w:r>
    </w:p>
    <w:p w:rsidR="004309CE" w:rsidRPr="000A78F9" w:rsidRDefault="004309CE" w:rsidP="004309CE">
      <w:pPr>
        <w:ind w:right="4910"/>
        <w:jc w:val="both"/>
        <w:rPr>
          <w:rFonts w:ascii="Calibri" w:hAnsi="Calibri" w:cs="Arial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46"/>
        <w:gridCol w:w="1843"/>
        <w:gridCol w:w="1335"/>
        <w:gridCol w:w="1665"/>
      </w:tblGrid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Nr. rend.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Shërbimi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Çmimi njësi pa TVSH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Sasia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Çmimi pa TVSH</w:t>
            </w: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E752E7">
            <w:pPr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Ueb-aplikacion - portal për platformë për informacione turistike (iTOP)</w:t>
              <w:br/>
              <w:t xml:space="preserve">Touristic Information Platform (iTOP) web application or portal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D20A6B">
            <w:pPr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Marrja e ueb-përmbajtjeve nga burimet e tjera</w:t>
              <w:br/>
              <w:t xml:space="preserve">Web scraping capabilities</w:t>
            </w:r>
            <w:r>
              <w:rPr>
                <w:sz w:val="22"/>
                <w:szCs w:val="22"/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D20A6B">
            <w:pPr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Futja e të dhënave për oferta të reja</w:t>
              <w:br/>
              <w:t xml:space="preserve">Data Entry for new offerings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>
            <w:pPr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Shfaqja e ofertave të kombinuara</w:t>
              <w:br/>
              <w:t xml:space="preserve">Data Listing of combined offerings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>
            <w:pPr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Mundësia për të shtuar/futur përmbajtje multimediale (YouTube, Instagram, etj.) dhe përmbajtje nga palë të treta</w:t>
              <w:br/>
              <w:t xml:space="preserve">Ability to add/embed multimedia (youtube, Instagram and similar) and third-party content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20A6B">
            <w:pPr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Moduli për menaxhimin e përdoruesve</w:t>
              <w:br/>
              <w:t xml:space="preserve">User Management Module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trHeight w:val="58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940CA">
            <w:pPr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Ofertat turistike</w:t>
              <w:br/>
              <w:t xml:space="preserve">Touristic offers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tabs>
                <w:tab w:val="left" w:pos="1060"/>
              </w:tabs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Qendra për njoftim dhe komunikim</w:t>
              <w:br/>
              <w:t xml:space="preserve">Notification and Communication Center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940CA">
            <w:pPr>
              <w:tabs>
                <w:tab w:val="left" w:pos="1060"/>
              </w:tabs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pStyle w:val="NormalWeb"/>
              <w:tabs>
                <w:tab w:val="left" w:pos="1060"/>
              </w:tabs>
              <w:spacing w:before="0" w:beforeAutospacing="0" w:after="0" w:afterAutospacing="0"/>
              <w:jc w:val="left"/>
              <w:textAlignment w:val="baseline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Tjetër</w:t>
              <w:br/>
              <w:t xml:space="preserve">Other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940CA">
            <w:pPr>
              <w:tabs>
                <w:tab w:val="left" w:pos="1060"/>
              </w:tabs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10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tabs>
                <w:tab w:val="left" w:pos="1060"/>
              </w:tabs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Moduli për statistikë afariste</w:t>
              <w:br/>
              <w:t xml:space="preserve">Business Intelligence Module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pacing w:before="80" w:after="80"/>
              <w:jc w:val="center"/>
              <w:rPr>
                <w:b/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b/>
                <w:sz w:val="22"/>
                <w:szCs w:val="22"/>
                <w:rFonts w:asciiTheme="minorHAnsi" w:hAnsiTheme="minorHAnsi"/>
              </w:rPr>
              <w:t xml:space="preserve">Gjithsej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</w:p>
    <w:p w:rsidR="00795F2D" w:rsidRPr="00795F2D" w:rsidRDefault="00795F2D" w:rsidP="00795F2D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Afati i vlefshmërisë së ofertës: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30 ditë</w:t>
      </w:r>
    </w:p>
    <w:p w:rsidR="00891EB4" w:rsidRPr="00D940CA" w:rsidRDefault="00891EB4" w:rsidP="004309CE">
      <w:pPr>
        <w:ind w:right="318"/>
        <w:jc w:val="right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55359" w:rsidP="00455359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Vendi dhe data                                        Personi përgjegjës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886606" w:rsidRDefault="00886606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 xml:space="preserve">       </w:t>
      </w:r>
    </w:p>
    <w:p w:rsidR="00564609" w:rsidRDefault="00455359" w:rsidP="00455359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___________________ ________________________________</w:t>
      </w:r>
    </w:p>
    <w:p w:rsidR="00455359" w:rsidRPr="00455359" w:rsidRDefault="00455359" w:rsidP="00455359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ab/>
        <w:tab/>
        <w:tab/>
        <w:tab/>
        <w:tab/>
      </w:r>
      <w:r>
        <w:rPr>
          <w:sz w:val="22"/>
          <w:szCs w:val="22"/>
          <w:rFonts w:asciiTheme="minorHAnsi" w:hAnsiTheme="minorHAnsi"/>
        </w:rPr>
        <w:t xml:space="preserve">(nënshkrimi dhe vula)</w:t>
      </w:r>
    </w:p>
    <w:sectPr w:rsidR="00455359" w:rsidRPr="00455359" w:rsidSect="000B0B32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1D1A"/>
    <w:multiLevelType w:val="multilevel"/>
    <w:tmpl w:val="D590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 Neshkoski">
    <w15:presenceInfo w15:providerId="None" w15:userId="Filip Neshko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B"/>
    <w:rsid w:val="000B0B32"/>
    <w:rsid w:val="0027454A"/>
    <w:rsid w:val="004309CE"/>
    <w:rsid w:val="00455359"/>
    <w:rsid w:val="00564609"/>
    <w:rsid w:val="006A7E07"/>
    <w:rsid w:val="00742028"/>
    <w:rsid w:val="00756939"/>
    <w:rsid w:val="00756C5B"/>
    <w:rsid w:val="00795F2D"/>
    <w:rsid w:val="00886606"/>
    <w:rsid w:val="00891EB4"/>
    <w:rsid w:val="008D4A5A"/>
    <w:rsid w:val="00A62FA4"/>
    <w:rsid w:val="00D940CA"/>
    <w:rsid w:val="00E752E7"/>
    <w:rsid w:val="00EE4045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5060-4CB2-4396-AAD4-55F185F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09CE"/>
    <w:pPr>
      <w:widowControl w:val="0"/>
      <w:adjustRightInd w:val="0"/>
      <w:spacing w:after="120" w:line="360" w:lineRule="atLeast"/>
      <w:jc w:val="both"/>
      <w:textAlignment w:val="baseline"/>
    </w:pPr>
    <w:rPr>
      <w:lang w:val="sq-AL" w:eastAsia="en-US"/>
    </w:rPr>
  </w:style>
  <w:style w:type="character" w:customStyle="1" w:styleId="BodyTextChar">
    <w:name w:val="Body Text Char"/>
    <w:basedOn w:val="DefaultParagraphFont"/>
    <w:link w:val="BodyText"/>
    <w:rsid w:val="004309C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/>
      <w:jc w:val="both"/>
    </w:pPr>
    <w:rPr>
      <w:lang w:val="sq-AL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9</cp:revision>
  <dcterms:created xsi:type="dcterms:W3CDTF">2018-12-27T13:00:00Z</dcterms:created>
  <dcterms:modified xsi:type="dcterms:W3CDTF">2019-03-12T22:58:00Z</dcterms:modified>
</cp:coreProperties>
</file>