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EE" w:rsidRPr="00734FE1" w:rsidRDefault="003C6CEE" w:rsidP="00386BFA">
      <w:pPr>
        <w:jc w:val="both"/>
        <w:rPr>
          <w:rFonts w:cstheme="minorHAnsi"/>
          <w:lang w:val="mk-MK"/>
        </w:rPr>
      </w:pPr>
    </w:p>
    <w:p w:rsidR="009D527B" w:rsidRPr="009D527B" w:rsidRDefault="009D527B" w:rsidP="009D527B">
      <w:pPr>
        <w:jc w:val="both"/>
        <w:rPr>
          <w:rFonts w:cstheme="minorHAnsi"/>
          <w:lang w:val="en-GB"/>
        </w:rPr>
      </w:pPr>
      <w:r w:rsidRPr="009D527B">
        <w:rPr>
          <w:rFonts w:cstheme="minorHAnsi"/>
          <w:lang w:val="en-GB"/>
        </w:rPr>
        <w:t>For the needs of the project Increasing Civic Engagement in the Digital Agenda - ICEDA funded by the European Union on the basis of the Grant Agreement with reference number IPA / 2019-414-059, the Foundation for Internet and Society Metamorphosis Skopje announces</w:t>
      </w:r>
    </w:p>
    <w:p w:rsidR="003C6CEE" w:rsidRPr="00734FE1" w:rsidRDefault="003C6CEE" w:rsidP="00386BFA">
      <w:pPr>
        <w:jc w:val="both"/>
        <w:rPr>
          <w:rFonts w:cstheme="minorHAnsi"/>
          <w:b/>
          <w:lang w:val="mk-MK"/>
        </w:rPr>
      </w:pPr>
    </w:p>
    <w:p w:rsidR="003C6CEE" w:rsidRPr="009D527B" w:rsidRDefault="009D527B" w:rsidP="009D527B">
      <w:pPr>
        <w:jc w:val="center"/>
        <w:rPr>
          <w:rFonts w:cstheme="minorHAnsi"/>
          <w:b/>
          <w:lang w:val="en-GB"/>
        </w:rPr>
      </w:pPr>
      <w:r>
        <w:rPr>
          <w:rFonts w:cstheme="minorHAnsi"/>
          <w:b/>
          <w:lang w:val="en-GB"/>
        </w:rPr>
        <w:t>CALL FOR TENDERS</w:t>
      </w:r>
    </w:p>
    <w:p w:rsidR="009D527B" w:rsidRPr="009D527B" w:rsidRDefault="009D527B" w:rsidP="009D527B">
      <w:pPr>
        <w:jc w:val="center"/>
        <w:rPr>
          <w:rFonts w:cstheme="minorHAnsi"/>
          <w:lang w:val="en-GB"/>
        </w:rPr>
      </w:pPr>
      <w:r w:rsidRPr="009D527B">
        <w:rPr>
          <w:rFonts w:cstheme="minorHAnsi"/>
          <w:lang w:val="en-GB"/>
        </w:rPr>
        <w:t>for procurement of services for mid-term and final evaluation of the project Increasing Civic Engagement in the Digital Agenda - ICEDA</w:t>
      </w:r>
    </w:p>
    <w:p w:rsidR="003C6CEE" w:rsidRPr="00734FE1" w:rsidRDefault="003C6CEE" w:rsidP="00386BFA">
      <w:pPr>
        <w:jc w:val="both"/>
        <w:rPr>
          <w:rFonts w:cstheme="minorHAnsi"/>
        </w:rPr>
      </w:pPr>
    </w:p>
    <w:p w:rsidR="003C6CEE" w:rsidRPr="00734FE1" w:rsidRDefault="009D527B" w:rsidP="00386BFA">
      <w:pPr>
        <w:pStyle w:val="ListParagraph"/>
        <w:numPr>
          <w:ilvl w:val="0"/>
          <w:numId w:val="24"/>
        </w:numPr>
        <w:spacing w:after="60" w:line="240" w:lineRule="auto"/>
        <w:ind w:left="284" w:hanging="284"/>
        <w:jc w:val="both"/>
        <w:rPr>
          <w:rFonts w:cstheme="minorHAnsi"/>
          <w:b/>
        </w:rPr>
      </w:pPr>
      <w:r>
        <w:rPr>
          <w:rFonts w:cstheme="minorHAnsi"/>
          <w:b/>
          <w:lang w:val="en-GB"/>
        </w:rPr>
        <w:t>Contracting Authority</w:t>
      </w:r>
    </w:p>
    <w:p w:rsidR="00424C98" w:rsidRPr="00A13A0F" w:rsidRDefault="00424C98" w:rsidP="00424C98">
      <w:pPr>
        <w:jc w:val="both"/>
        <w:rPr>
          <w:lang w:val="en-GB"/>
        </w:rPr>
      </w:pPr>
      <w:r w:rsidRPr="00A13A0F">
        <w:t>Foundation for Internet and S</w:t>
      </w:r>
      <w:r>
        <w:t>ociety Metamorphosis Skopje, P</w:t>
      </w:r>
      <w:r w:rsidRPr="00A13A0F">
        <w:t>roject Increasing C</w:t>
      </w:r>
      <w:r>
        <w:t>ivic Engagement</w:t>
      </w:r>
      <w:r w:rsidRPr="00A13A0F">
        <w:t xml:space="preserve"> in the Digital Agenda - ICEDA funded by the European Union on the basis of the Grant Agreement with reference number IPA / 2019-414-059.</w:t>
      </w:r>
    </w:p>
    <w:p w:rsidR="00563113" w:rsidRPr="00734FE1" w:rsidRDefault="00424C98" w:rsidP="00386BFA">
      <w:pPr>
        <w:pStyle w:val="ListParagraph"/>
        <w:numPr>
          <w:ilvl w:val="0"/>
          <w:numId w:val="24"/>
        </w:numPr>
        <w:spacing w:after="60" w:line="240" w:lineRule="auto"/>
        <w:ind w:left="284" w:hanging="284"/>
        <w:jc w:val="both"/>
        <w:rPr>
          <w:rFonts w:cstheme="minorHAnsi"/>
          <w:b/>
          <w:lang w:val="mk-MK"/>
        </w:rPr>
      </w:pPr>
      <w:r>
        <w:rPr>
          <w:rFonts w:cstheme="minorHAnsi"/>
          <w:b/>
          <w:lang w:val="en-GB"/>
        </w:rPr>
        <w:t>Project backgound</w:t>
      </w:r>
    </w:p>
    <w:p w:rsidR="00424C98" w:rsidRDefault="00424C98" w:rsidP="00424C98">
      <w:pPr>
        <w:jc w:val="both"/>
      </w:pPr>
      <w:r>
        <w:t xml:space="preserve">Metamorphosis Foundation from Skopje (Northern Macedonia) in partnership with the Academy for e-Government (Estonia), CRTA - Center for Research, Transparency and Accountability (Serbia), NGO 35mm (Montenegro), Open Data Kosovo (Kosovo) and Levizja Mjaft! (Albania), implement the project Increasing Civic Engagement in the Digital Agenda - ICEDA funded by the European Union. The project </w:t>
      </w:r>
      <w:r w:rsidRPr="009B1341">
        <w:rPr>
          <w:b/>
        </w:rPr>
        <w:t>aims</w:t>
      </w:r>
      <w:r>
        <w:t xml:space="preserve"> to increase the participation of civil society organizations (CSOs) in shaping and implementing the Digital Agenda in the Western Balkans.</w:t>
      </w:r>
    </w:p>
    <w:p w:rsidR="00424C98" w:rsidRDefault="00424C98" w:rsidP="00424C98">
      <w:pPr>
        <w:jc w:val="both"/>
      </w:pPr>
      <w:r w:rsidRPr="009B1341">
        <w:t>Digital Agenda is an initiative developed by the European Union, which has also been extended and adopted for 6 countries in the Western Balkan. It aims to ensure that citizens of the region can fully reap the benefits of the digital transformation. The commitment to the Digital Agenda will ensure that citizens have the skills to match the demands of the new economy and will help modernize public administrations, strengthen cyber security, increase connectivity, and improve the business climate.</w:t>
      </w:r>
    </w:p>
    <w:p w:rsidR="00424C98" w:rsidRPr="00A13A0F" w:rsidRDefault="00424C98" w:rsidP="00424C98">
      <w:pPr>
        <w:jc w:val="both"/>
        <w:rPr>
          <w:lang w:val="en-GB"/>
        </w:rPr>
      </w:pPr>
      <w:r>
        <w:t xml:space="preserve">The total </w:t>
      </w:r>
      <w:r w:rsidRPr="009B1341">
        <w:rPr>
          <w:b/>
        </w:rPr>
        <w:t>duration</w:t>
      </w:r>
      <w:r>
        <w:t xml:space="preserve"> of the project is 3 years, from February 2020 to January 2023.</w:t>
      </w:r>
    </w:p>
    <w:p w:rsidR="00563113" w:rsidRPr="00734FE1" w:rsidRDefault="00424C98" w:rsidP="00386BFA">
      <w:pPr>
        <w:jc w:val="both"/>
        <w:rPr>
          <w:rFonts w:cstheme="minorHAnsi"/>
          <w:b/>
        </w:rPr>
      </w:pPr>
      <w:r>
        <w:rPr>
          <w:rFonts w:cstheme="minorHAnsi"/>
          <w:b/>
        </w:rPr>
        <w:t>Specific project goals</w:t>
      </w:r>
      <w:r w:rsidR="00563113" w:rsidRPr="00734FE1">
        <w:rPr>
          <w:rFonts w:cstheme="minorHAnsi"/>
          <w:b/>
        </w:rPr>
        <w:t>:</w:t>
      </w:r>
    </w:p>
    <w:p w:rsidR="00424C98" w:rsidRPr="00424C98" w:rsidRDefault="00424C98" w:rsidP="00386BFA">
      <w:pPr>
        <w:pStyle w:val="ListParagraph"/>
        <w:numPr>
          <w:ilvl w:val="0"/>
          <w:numId w:val="2"/>
        </w:numPr>
        <w:jc w:val="both"/>
        <w:rPr>
          <w:rFonts w:cstheme="minorHAnsi"/>
        </w:rPr>
      </w:pPr>
      <w:r>
        <w:t>Increase the capacity of CSOs and the media to deal with challenges related to the digital agenda, enabling them to become active participants in the process.</w:t>
      </w:r>
    </w:p>
    <w:p w:rsidR="00424C98" w:rsidRPr="00424C98" w:rsidRDefault="00424C98" w:rsidP="00386BFA">
      <w:pPr>
        <w:pStyle w:val="ListParagraph"/>
        <w:numPr>
          <w:ilvl w:val="0"/>
          <w:numId w:val="2"/>
        </w:numPr>
        <w:jc w:val="both"/>
        <w:rPr>
          <w:rFonts w:cstheme="minorHAnsi"/>
        </w:rPr>
      </w:pPr>
      <w:r>
        <w:t>Strengthen the role of CSOs in helping state institutions to better utilize the potential of information and communication technologies (ICT) in order to improve the quality of their e-services to citizens, as well as to increase their openness.</w:t>
      </w:r>
    </w:p>
    <w:p w:rsidR="00424C98" w:rsidRPr="00424C98" w:rsidRDefault="00424C98" w:rsidP="00386BFA">
      <w:pPr>
        <w:pStyle w:val="ListParagraph"/>
        <w:numPr>
          <w:ilvl w:val="0"/>
          <w:numId w:val="2"/>
        </w:numPr>
        <w:jc w:val="both"/>
        <w:rPr>
          <w:rFonts w:cstheme="minorHAnsi"/>
        </w:rPr>
      </w:pPr>
      <w:r>
        <w:t>Strengthen online security and trust by holding awareness-raising trainings through a network of CSOs that promote digital literacy, skills and inclusion at regional, national and local levels.</w:t>
      </w:r>
    </w:p>
    <w:p w:rsidR="00C85FE3" w:rsidRPr="00C85FE3" w:rsidRDefault="00C85FE3" w:rsidP="00386BFA">
      <w:pPr>
        <w:pStyle w:val="ListParagraph"/>
        <w:numPr>
          <w:ilvl w:val="0"/>
          <w:numId w:val="2"/>
        </w:numPr>
        <w:jc w:val="both"/>
        <w:rPr>
          <w:rFonts w:cstheme="minorHAnsi"/>
        </w:rPr>
      </w:pPr>
      <w:r>
        <w:t>Increase the visibility of issues related to the Digital Agenda within civil society and the media.</w:t>
      </w:r>
    </w:p>
    <w:p w:rsidR="00C85FE3" w:rsidRDefault="00C85FE3" w:rsidP="00F94063">
      <w:pPr>
        <w:pStyle w:val="ListParagraph"/>
        <w:numPr>
          <w:ilvl w:val="0"/>
          <w:numId w:val="2"/>
        </w:numPr>
        <w:jc w:val="both"/>
      </w:pPr>
      <w:r>
        <w:lastRenderedPageBreak/>
        <w:t>Increase the demand of citizens for quality e-services through training and awareness raising activities by CSOs.</w:t>
      </w:r>
    </w:p>
    <w:p w:rsidR="00563113" w:rsidRPr="00734FE1" w:rsidRDefault="00F94063" w:rsidP="00386BFA">
      <w:pPr>
        <w:jc w:val="both"/>
        <w:rPr>
          <w:rFonts w:cstheme="minorHAnsi"/>
          <w:b/>
        </w:rPr>
      </w:pPr>
      <w:r>
        <w:rPr>
          <w:rFonts w:cstheme="minorHAnsi"/>
          <w:b/>
        </w:rPr>
        <w:t>Expected results</w:t>
      </w:r>
      <w:r w:rsidR="00563113" w:rsidRPr="00734FE1">
        <w:rPr>
          <w:rFonts w:cstheme="minorHAnsi"/>
          <w:b/>
        </w:rPr>
        <w:t>:</w:t>
      </w:r>
    </w:p>
    <w:p w:rsidR="00F94063" w:rsidRPr="00F94063" w:rsidRDefault="00F94063" w:rsidP="00386BFA">
      <w:pPr>
        <w:pStyle w:val="ListParagraph"/>
        <w:numPr>
          <w:ilvl w:val="0"/>
          <w:numId w:val="3"/>
        </w:numPr>
        <w:jc w:val="both"/>
        <w:rPr>
          <w:rFonts w:cstheme="minorHAnsi"/>
        </w:rPr>
      </w:pPr>
      <w:r w:rsidRPr="009B4F34">
        <w:rPr>
          <w:lang w:val="mk-MK"/>
        </w:rPr>
        <w:t>Advanced Digital Agenda through a network of 30 CSOs from the Western Balkans supported by a small grant scheme for implementing specific initiatives.</w:t>
      </w:r>
    </w:p>
    <w:p w:rsidR="00F94063" w:rsidRPr="00F94063" w:rsidRDefault="00F94063" w:rsidP="00386BFA">
      <w:pPr>
        <w:pStyle w:val="ListParagraph"/>
        <w:numPr>
          <w:ilvl w:val="0"/>
          <w:numId w:val="3"/>
        </w:numPr>
        <w:jc w:val="both"/>
        <w:rPr>
          <w:rFonts w:cstheme="minorHAnsi"/>
        </w:rPr>
      </w:pPr>
      <w:r w:rsidRPr="009B4F34">
        <w:rPr>
          <w:lang w:val="mk-MK"/>
        </w:rPr>
        <w:t>Published survey on the state of e-govern</w:t>
      </w:r>
      <w:r>
        <w:t>ment</w:t>
      </w:r>
      <w:r w:rsidRPr="009B4F34">
        <w:rPr>
          <w:lang w:val="mk-MK"/>
        </w:rPr>
        <w:t xml:space="preserve"> in five countries.</w:t>
      </w:r>
    </w:p>
    <w:p w:rsidR="00F94063" w:rsidRPr="00F94063" w:rsidRDefault="00F94063" w:rsidP="00386BFA">
      <w:pPr>
        <w:pStyle w:val="ListParagraph"/>
        <w:numPr>
          <w:ilvl w:val="0"/>
          <w:numId w:val="3"/>
        </w:numPr>
        <w:jc w:val="both"/>
        <w:rPr>
          <w:rFonts w:cstheme="minorHAnsi"/>
        </w:rPr>
      </w:pPr>
      <w:r w:rsidRPr="009B4F34">
        <w:rPr>
          <w:lang w:val="mk-MK"/>
        </w:rPr>
        <w:t>15 local e-government support centers established, managed by members of the CSO network.</w:t>
      </w:r>
    </w:p>
    <w:p w:rsidR="00F94063" w:rsidRPr="00F94063" w:rsidRDefault="00F94063" w:rsidP="00386BFA">
      <w:pPr>
        <w:pStyle w:val="ListParagraph"/>
        <w:numPr>
          <w:ilvl w:val="0"/>
          <w:numId w:val="3"/>
        </w:numPr>
        <w:jc w:val="both"/>
        <w:rPr>
          <w:rFonts w:cstheme="minorHAnsi"/>
        </w:rPr>
      </w:pPr>
      <w:r w:rsidRPr="009B4F34">
        <w:rPr>
          <w:lang w:val="mk-MK"/>
        </w:rPr>
        <w:t>Improved skills of CSOs and media professionals at the local level to recognize and address the challenges related to the digital agenda.</w:t>
      </w:r>
    </w:p>
    <w:p w:rsidR="00F94063" w:rsidRPr="00F94063" w:rsidRDefault="00F94063" w:rsidP="00386BFA">
      <w:pPr>
        <w:pStyle w:val="ListParagraph"/>
        <w:numPr>
          <w:ilvl w:val="0"/>
          <w:numId w:val="3"/>
        </w:numPr>
        <w:jc w:val="both"/>
        <w:rPr>
          <w:rFonts w:cstheme="minorHAnsi"/>
        </w:rPr>
      </w:pPr>
      <w:r w:rsidRPr="009B4F34">
        <w:rPr>
          <w:lang w:val="mk-MK"/>
        </w:rPr>
        <w:t>Increased use of e-government services by citizens in certain areas.</w:t>
      </w:r>
    </w:p>
    <w:p w:rsidR="00F94063" w:rsidRPr="00F94063" w:rsidRDefault="00F94063" w:rsidP="00F94063">
      <w:pPr>
        <w:pStyle w:val="ListParagraph"/>
        <w:numPr>
          <w:ilvl w:val="0"/>
          <w:numId w:val="3"/>
        </w:numPr>
        <w:jc w:val="both"/>
        <w:rPr>
          <w:rFonts w:cstheme="minorHAnsi"/>
          <w:b/>
          <w:lang w:val="mk-MK"/>
        </w:rPr>
      </w:pPr>
      <w:r w:rsidRPr="00F94063">
        <w:rPr>
          <w:rFonts w:cstheme="minorHAnsi"/>
          <w:lang w:val="en-GB"/>
        </w:rPr>
        <w:t>Strengthened</w:t>
      </w:r>
      <w:r w:rsidRPr="00F94063">
        <w:rPr>
          <w:rFonts w:cstheme="minorHAnsi"/>
          <w:lang w:val="mk-MK"/>
        </w:rPr>
        <w:t xml:space="preserve"> dialogue between CSOs and government institutions on an inclusive digital agenda in which citizens are </w:t>
      </w:r>
      <w:r w:rsidRPr="00F94063">
        <w:rPr>
          <w:rFonts w:cstheme="minorHAnsi"/>
          <w:lang w:val="en-GB"/>
        </w:rPr>
        <w:t xml:space="preserve">in </w:t>
      </w:r>
      <w:r w:rsidRPr="00F94063">
        <w:rPr>
          <w:rFonts w:cstheme="minorHAnsi"/>
          <w:lang w:val="mk-MK"/>
        </w:rPr>
        <w:t>thefocus, by providing recommendations for improving e-services through developed and disseminated evidence-based research.</w:t>
      </w:r>
    </w:p>
    <w:p w:rsidR="00F94063" w:rsidRPr="00F94063" w:rsidRDefault="00F94063" w:rsidP="00F94063">
      <w:pPr>
        <w:pStyle w:val="ListParagraph"/>
        <w:jc w:val="both"/>
        <w:rPr>
          <w:rFonts w:cstheme="minorHAnsi"/>
          <w:b/>
          <w:lang w:val="mk-MK"/>
        </w:rPr>
      </w:pPr>
    </w:p>
    <w:p w:rsidR="00F94063" w:rsidRPr="00F94063" w:rsidRDefault="00F94063" w:rsidP="00F94063">
      <w:pPr>
        <w:pStyle w:val="ListParagraph"/>
        <w:numPr>
          <w:ilvl w:val="0"/>
          <w:numId w:val="24"/>
        </w:numPr>
        <w:jc w:val="both"/>
        <w:rPr>
          <w:rFonts w:cstheme="minorHAnsi"/>
          <w:b/>
          <w:lang w:val="en-GB"/>
        </w:rPr>
      </w:pPr>
      <w:r w:rsidRPr="00F94063">
        <w:rPr>
          <w:rFonts w:cstheme="minorHAnsi"/>
          <w:b/>
          <w:lang w:val="en-GB"/>
        </w:rPr>
        <w:t>Subject of the contract for procurement of service</w:t>
      </w:r>
    </w:p>
    <w:p w:rsidR="00F94063" w:rsidRPr="00F94063" w:rsidRDefault="00F94063" w:rsidP="00F94063">
      <w:pPr>
        <w:jc w:val="both"/>
        <w:rPr>
          <w:rFonts w:cstheme="minorHAnsi"/>
          <w:lang w:val="en-GB"/>
        </w:rPr>
      </w:pPr>
      <w:r w:rsidRPr="00F94063">
        <w:rPr>
          <w:rFonts w:cstheme="minorHAnsi"/>
          <w:lang w:val="en-GB"/>
        </w:rPr>
        <w:t>The subject of the contract for procurement of service is the mid-term and final evaluation of the project Increasing Civic Engagement in the Digital Agenda - ICEDA.</w:t>
      </w:r>
    </w:p>
    <w:p w:rsidR="00563113" w:rsidRPr="00734FE1" w:rsidRDefault="00563113" w:rsidP="00386BFA">
      <w:pPr>
        <w:jc w:val="both"/>
        <w:rPr>
          <w:rFonts w:cstheme="minorHAnsi"/>
          <w:b/>
        </w:rPr>
      </w:pPr>
    </w:p>
    <w:p w:rsidR="00563113" w:rsidRDefault="00F94063" w:rsidP="00386BFA">
      <w:pPr>
        <w:jc w:val="both"/>
        <w:rPr>
          <w:rFonts w:cstheme="minorHAnsi"/>
          <w:b/>
        </w:rPr>
      </w:pPr>
      <w:r>
        <w:rPr>
          <w:rFonts w:cstheme="minorHAnsi"/>
          <w:b/>
        </w:rPr>
        <w:t xml:space="preserve">Tasks and results with a timeframe </w:t>
      </w:r>
    </w:p>
    <w:p w:rsidR="00CD5A97" w:rsidRDefault="00CD5A97" w:rsidP="00CD5A97">
      <w:r>
        <w:t>Activities and tasks to be covered are shown in the table below.</w:t>
      </w:r>
    </w:p>
    <w:p w:rsidR="00CD5A97" w:rsidRPr="00CD5A97" w:rsidRDefault="00CD5A97" w:rsidP="00CD5A97">
      <w:pPr>
        <w:rPr>
          <w:lang w:val="en-GB"/>
        </w:rPr>
      </w:pPr>
      <w:r>
        <w:t>All submitted products must be in English.</w:t>
      </w:r>
    </w:p>
    <w:tbl>
      <w:tblPr>
        <w:tblStyle w:val="TableGrid"/>
        <w:tblW w:w="0" w:type="auto"/>
        <w:tblLook w:val="04A0"/>
      </w:tblPr>
      <w:tblGrid>
        <w:gridCol w:w="7375"/>
        <w:gridCol w:w="1975"/>
      </w:tblGrid>
      <w:tr w:rsidR="001E6D3B" w:rsidTr="004656A5">
        <w:tc>
          <w:tcPr>
            <w:tcW w:w="7375" w:type="dxa"/>
            <w:shd w:val="clear" w:color="auto" w:fill="9CC2E5" w:themeFill="accent1" w:themeFillTint="99"/>
          </w:tcPr>
          <w:p w:rsidR="001E6D3B" w:rsidRPr="00CD5A97" w:rsidRDefault="00CD5A97" w:rsidP="004656A5">
            <w:pPr>
              <w:jc w:val="both"/>
              <w:rPr>
                <w:rFonts w:cstheme="minorHAnsi"/>
                <w:b/>
                <w:lang w:val="en-GB"/>
              </w:rPr>
            </w:pPr>
            <w:r>
              <w:rPr>
                <w:rFonts w:cstheme="minorHAnsi"/>
                <w:b/>
                <w:lang w:val="en-GB"/>
              </w:rPr>
              <w:t>Activities and tasks</w:t>
            </w:r>
          </w:p>
        </w:tc>
        <w:tc>
          <w:tcPr>
            <w:tcW w:w="1975" w:type="dxa"/>
            <w:shd w:val="clear" w:color="auto" w:fill="9CC2E5" w:themeFill="accent1" w:themeFillTint="99"/>
          </w:tcPr>
          <w:p w:rsidR="001E6D3B" w:rsidRPr="009F0CEE" w:rsidRDefault="00CD5A97" w:rsidP="004656A5">
            <w:pPr>
              <w:jc w:val="both"/>
              <w:rPr>
                <w:rFonts w:cstheme="minorHAnsi"/>
                <w:b/>
                <w:lang w:val="mk-MK"/>
              </w:rPr>
            </w:pPr>
            <w:r w:rsidRPr="00CD5A97">
              <w:rPr>
                <w:rFonts w:cstheme="minorHAnsi"/>
                <w:b/>
                <w:lang w:val="mk-MK"/>
              </w:rPr>
              <w:t>Deadline for submission</w:t>
            </w:r>
          </w:p>
        </w:tc>
      </w:tr>
      <w:tr w:rsidR="001E6D3B" w:rsidTr="004656A5">
        <w:tc>
          <w:tcPr>
            <w:tcW w:w="7375" w:type="dxa"/>
          </w:tcPr>
          <w:p w:rsidR="001E6D3B" w:rsidRPr="00CD5A97" w:rsidRDefault="00CD5A97" w:rsidP="00CD5A97">
            <w:pPr>
              <w:jc w:val="both"/>
              <w:rPr>
                <w:rFonts w:cstheme="minorHAnsi"/>
                <w:lang w:val="mk-MK"/>
              </w:rPr>
            </w:pPr>
            <w:r w:rsidRPr="00CD5A97">
              <w:rPr>
                <w:rFonts w:cstheme="minorHAnsi"/>
                <w:lang w:val="en-GB"/>
              </w:rPr>
              <w:t xml:space="preserve">A1. Creating and presenting a </w:t>
            </w:r>
            <w:r>
              <w:rPr>
                <w:rFonts w:cstheme="minorHAnsi"/>
                <w:b/>
                <w:lang w:val="en-GB"/>
              </w:rPr>
              <w:t>draft-</w:t>
            </w:r>
            <w:r w:rsidRPr="00CD5A97">
              <w:rPr>
                <w:rFonts w:cstheme="minorHAnsi"/>
                <w:b/>
                <w:lang w:val="en-GB"/>
              </w:rPr>
              <w:t xml:space="preserve"> structure of evaluations and a </w:t>
            </w:r>
            <w:r>
              <w:rPr>
                <w:rFonts w:cstheme="minorHAnsi"/>
                <w:b/>
                <w:lang w:val="en-GB"/>
              </w:rPr>
              <w:t>draft</w:t>
            </w:r>
            <w:r w:rsidRPr="00CD5A97">
              <w:rPr>
                <w:rFonts w:cstheme="minorHAnsi"/>
                <w:b/>
                <w:lang w:val="en-GB"/>
              </w:rPr>
              <w:t xml:space="preserve"> methodology</w:t>
            </w:r>
            <w:r w:rsidRPr="00CD5A97">
              <w:rPr>
                <w:rFonts w:cstheme="minorHAnsi"/>
                <w:lang w:val="en-GB"/>
              </w:rPr>
              <w:t xml:space="preserve"> that takes into account the guidelines from item 3. Methodology and approach.</w:t>
            </w:r>
          </w:p>
        </w:tc>
        <w:tc>
          <w:tcPr>
            <w:tcW w:w="1975" w:type="dxa"/>
          </w:tcPr>
          <w:p w:rsidR="001E6D3B" w:rsidRPr="00207B6F" w:rsidRDefault="00CD5A97" w:rsidP="00CE6B38">
            <w:pPr>
              <w:jc w:val="both"/>
              <w:rPr>
                <w:rFonts w:cstheme="minorHAnsi"/>
                <w:lang w:val="mk-MK"/>
              </w:rPr>
            </w:pPr>
            <w:r w:rsidRPr="00CD5A97">
              <w:rPr>
                <w:rFonts w:cstheme="minorHAnsi"/>
                <w:lang w:val="mk-MK"/>
              </w:rPr>
              <w:t>2 weeks after signing the contract</w:t>
            </w:r>
            <w:bookmarkStart w:id="0" w:name="_GoBack"/>
            <w:bookmarkEnd w:id="0"/>
          </w:p>
        </w:tc>
      </w:tr>
      <w:tr w:rsidR="001E6D3B" w:rsidTr="004656A5">
        <w:tc>
          <w:tcPr>
            <w:tcW w:w="7375" w:type="dxa"/>
          </w:tcPr>
          <w:p w:rsidR="001E6D3B" w:rsidRPr="00CD5A97" w:rsidRDefault="00CD5A97" w:rsidP="004656A5">
            <w:pPr>
              <w:jc w:val="both"/>
              <w:rPr>
                <w:rFonts w:cstheme="minorHAnsi"/>
                <w:lang w:val="en-GB"/>
              </w:rPr>
            </w:pPr>
            <w:r w:rsidRPr="00CD5A97">
              <w:rPr>
                <w:rFonts w:cstheme="minorHAnsi"/>
                <w:lang w:val="mk-MK"/>
              </w:rPr>
              <w:t xml:space="preserve">A2. </w:t>
            </w:r>
            <w:r w:rsidRPr="00CD5A97">
              <w:rPr>
                <w:rFonts w:cstheme="minorHAnsi"/>
                <w:b/>
                <w:lang w:val="en-GB"/>
              </w:rPr>
              <w:t>Draft</w:t>
            </w:r>
            <w:r w:rsidRPr="00CD5A97">
              <w:rPr>
                <w:rFonts w:cstheme="minorHAnsi"/>
                <w:b/>
                <w:lang w:val="mk-MK"/>
              </w:rPr>
              <w:t xml:space="preserve"> - M</w:t>
            </w:r>
            <w:r w:rsidRPr="00CD5A97">
              <w:rPr>
                <w:rFonts w:cstheme="minorHAnsi"/>
                <w:b/>
                <w:lang w:val="en-GB"/>
              </w:rPr>
              <w:t>id</w:t>
            </w:r>
            <w:r w:rsidRPr="00CD5A97">
              <w:rPr>
                <w:rFonts w:cstheme="minorHAnsi"/>
                <w:b/>
                <w:lang w:val="mk-MK"/>
              </w:rPr>
              <w:t>-term evaluation</w:t>
            </w:r>
            <w:r w:rsidRPr="00CD5A97">
              <w:rPr>
                <w:rFonts w:cstheme="minorHAnsi"/>
                <w:lang w:val="mk-MK"/>
              </w:rPr>
              <w:t xml:space="preserve"> - Assessment of the current progress in realization of the set goals and results of the project from the beginning of implementation (</w:t>
            </w:r>
            <w:r w:rsidRPr="00CD5A97">
              <w:rPr>
                <w:rFonts w:cstheme="minorHAnsi"/>
                <w:lang w:val="en-GB"/>
              </w:rPr>
              <w:t xml:space="preserve"> 1 </w:t>
            </w:r>
            <w:r w:rsidRPr="00CD5A97">
              <w:rPr>
                <w:rFonts w:cstheme="minorHAnsi"/>
                <w:lang w:val="mk-MK"/>
              </w:rPr>
              <w:t xml:space="preserve">February 2020 – </w:t>
            </w:r>
            <w:r w:rsidRPr="00CD5A97">
              <w:rPr>
                <w:rFonts w:cstheme="minorHAnsi"/>
                <w:lang w:val="en-GB"/>
              </w:rPr>
              <w:t xml:space="preserve">31 </w:t>
            </w:r>
            <w:r w:rsidRPr="00CD5A97">
              <w:rPr>
                <w:rFonts w:cstheme="minorHAnsi"/>
                <w:lang w:val="mk-MK"/>
              </w:rPr>
              <w:t>July 2021).</w:t>
            </w:r>
          </w:p>
        </w:tc>
        <w:tc>
          <w:tcPr>
            <w:tcW w:w="1975" w:type="dxa"/>
          </w:tcPr>
          <w:p w:rsidR="001E6D3B" w:rsidRPr="00207B6F" w:rsidRDefault="00CD5A97" w:rsidP="004656A5">
            <w:pPr>
              <w:jc w:val="both"/>
              <w:rPr>
                <w:rFonts w:cstheme="minorHAnsi"/>
                <w:lang w:val="mk-MK"/>
              </w:rPr>
            </w:pPr>
            <w:r>
              <w:rPr>
                <w:rFonts w:cstheme="minorHAnsi"/>
                <w:lang w:val="mk-MK"/>
              </w:rPr>
              <w:t>31</w:t>
            </w:r>
            <w:r>
              <w:rPr>
                <w:rFonts w:cstheme="minorHAnsi"/>
                <w:lang w:val="en-GB"/>
              </w:rPr>
              <w:t xml:space="preserve"> August</w:t>
            </w:r>
            <w:r w:rsidR="001E6D3B">
              <w:rPr>
                <w:rFonts w:cstheme="minorHAnsi"/>
                <w:lang w:val="mk-MK"/>
              </w:rPr>
              <w:t xml:space="preserve"> 2021</w:t>
            </w:r>
          </w:p>
        </w:tc>
      </w:tr>
      <w:tr w:rsidR="001E6D3B" w:rsidTr="004656A5">
        <w:tc>
          <w:tcPr>
            <w:tcW w:w="7375" w:type="dxa"/>
          </w:tcPr>
          <w:p w:rsidR="001E6D3B" w:rsidRPr="00CD5A97" w:rsidRDefault="00CD5A97" w:rsidP="004656A5">
            <w:pPr>
              <w:jc w:val="both"/>
              <w:rPr>
                <w:rFonts w:cstheme="minorHAnsi"/>
                <w:lang w:val="en-GB"/>
              </w:rPr>
            </w:pPr>
            <w:r w:rsidRPr="00CD5A97">
              <w:rPr>
                <w:rFonts w:cstheme="minorHAnsi"/>
                <w:lang w:val="en-GB"/>
              </w:rPr>
              <w:t xml:space="preserve">A3. </w:t>
            </w:r>
            <w:r w:rsidRPr="00CD5A97">
              <w:rPr>
                <w:rFonts w:cstheme="minorHAnsi"/>
                <w:b/>
                <w:lang w:val="en-GB"/>
              </w:rPr>
              <w:t>Mid-term evaluation</w:t>
            </w:r>
            <w:r w:rsidRPr="00CD5A97">
              <w:rPr>
                <w:rFonts w:cstheme="minorHAnsi"/>
                <w:lang w:val="en-GB"/>
              </w:rPr>
              <w:t xml:space="preserve"> - Assessment of the current progress in the realization of the set goals and results of the project from the beginning of implementation (1 February 2020 – 31 July 2021).</w:t>
            </w:r>
          </w:p>
        </w:tc>
        <w:tc>
          <w:tcPr>
            <w:tcW w:w="1975" w:type="dxa"/>
          </w:tcPr>
          <w:p w:rsidR="001E6D3B" w:rsidRPr="009F0CEE" w:rsidRDefault="001E6D3B" w:rsidP="00CD5A97">
            <w:pPr>
              <w:jc w:val="both"/>
              <w:rPr>
                <w:rFonts w:cstheme="minorHAnsi"/>
                <w:lang w:val="mk-MK"/>
              </w:rPr>
            </w:pPr>
            <w:r w:rsidRPr="009F0CEE">
              <w:rPr>
                <w:rFonts w:cstheme="minorHAnsi"/>
              </w:rPr>
              <w:t>31</w:t>
            </w:r>
            <w:r w:rsidR="00CD5A97">
              <w:rPr>
                <w:rFonts w:cstheme="minorHAnsi"/>
              </w:rPr>
              <w:t xml:space="preserve"> September </w:t>
            </w:r>
            <w:r w:rsidRPr="009F0CEE">
              <w:rPr>
                <w:rFonts w:cstheme="minorHAnsi"/>
              </w:rPr>
              <w:t>2021</w:t>
            </w:r>
          </w:p>
        </w:tc>
      </w:tr>
      <w:tr w:rsidR="001E6D3B" w:rsidTr="004656A5">
        <w:tc>
          <w:tcPr>
            <w:tcW w:w="7375" w:type="dxa"/>
          </w:tcPr>
          <w:p w:rsidR="001E6D3B" w:rsidRPr="00CD5A97" w:rsidRDefault="00CD5A97" w:rsidP="004656A5">
            <w:pPr>
              <w:jc w:val="both"/>
              <w:rPr>
                <w:rFonts w:cstheme="minorHAnsi"/>
                <w:lang w:val="en-GB"/>
              </w:rPr>
            </w:pPr>
            <w:r w:rsidRPr="00CD5A97">
              <w:rPr>
                <w:rFonts w:cstheme="minorHAnsi"/>
                <w:lang w:val="mk-MK"/>
              </w:rPr>
              <w:t xml:space="preserve">A4. </w:t>
            </w:r>
            <w:r w:rsidRPr="00CD5A97">
              <w:rPr>
                <w:rFonts w:cstheme="minorHAnsi"/>
                <w:b/>
                <w:lang w:val="en-GB"/>
              </w:rPr>
              <w:t>Draft</w:t>
            </w:r>
            <w:r w:rsidRPr="00CD5A97">
              <w:rPr>
                <w:rFonts w:cstheme="minorHAnsi"/>
                <w:b/>
                <w:lang w:val="mk-MK"/>
              </w:rPr>
              <w:t>- Final evaluation</w:t>
            </w:r>
            <w:r w:rsidRPr="00CD5A97">
              <w:rPr>
                <w:rFonts w:cstheme="minorHAnsi"/>
                <w:lang w:val="mk-MK"/>
              </w:rPr>
              <w:t xml:space="preserve"> - Assessment of achievements, realization of the set goals and results of the project from the beginning of implementation (</w:t>
            </w:r>
            <w:r w:rsidRPr="00CD5A97">
              <w:rPr>
                <w:rFonts w:cstheme="minorHAnsi"/>
                <w:lang w:val="en-GB"/>
              </w:rPr>
              <w:t xml:space="preserve">1 </w:t>
            </w:r>
            <w:r w:rsidRPr="00CD5A97">
              <w:rPr>
                <w:rFonts w:cstheme="minorHAnsi"/>
                <w:lang w:val="mk-MK"/>
              </w:rPr>
              <w:t xml:space="preserve">February 2020 - until </w:t>
            </w:r>
            <w:r w:rsidRPr="00CD5A97">
              <w:rPr>
                <w:rFonts w:cstheme="minorHAnsi"/>
                <w:lang w:val="en-GB"/>
              </w:rPr>
              <w:t xml:space="preserve">31 </w:t>
            </w:r>
            <w:r w:rsidRPr="00CD5A97">
              <w:rPr>
                <w:rFonts w:cstheme="minorHAnsi"/>
                <w:lang w:val="mk-MK"/>
              </w:rPr>
              <w:t>January 2023)</w:t>
            </w:r>
          </w:p>
        </w:tc>
        <w:tc>
          <w:tcPr>
            <w:tcW w:w="1975" w:type="dxa"/>
          </w:tcPr>
          <w:p w:rsidR="001E6D3B" w:rsidRDefault="001E6D3B" w:rsidP="00CD5A97">
            <w:pPr>
              <w:jc w:val="both"/>
              <w:rPr>
                <w:rFonts w:cstheme="minorHAnsi"/>
              </w:rPr>
            </w:pPr>
            <w:r>
              <w:rPr>
                <w:rFonts w:cstheme="minorHAnsi"/>
                <w:lang w:val="mk-MK"/>
              </w:rPr>
              <w:t>28</w:t>
            </w:r>
            <w:r w:rsidR="00CD5A97">
              <w:rPr>
                <w:rFonts w:cstheme="minorHAnsi"/>
                <w:lang w:val="en-GB"/>
              </w:rPr>
              <w:t xml:space="preserve"> February</w:t>
            </w:r>
            <w:r>
              <w:rPr>
                <w:rFonts w:cstheme="minorHAnsi"/>
                <w:lang w:val="mk-MK"/>
              </w:rPr>
              <w:t xml:space="preserve"> 2023</w:t>
            </w:r>
          </w:p>
        </w:tc>
      </w:tr>
      <w:tr w:rsidR="001E6D3B" w:rsidTr="004656A5">
        <w:tc>
          <w:tcPr>
            <w:tcW w:w="7375" w:type="dxa"/>
          </w:tcPr>
          <w:p w:rsidR="001E6D3B" w:rsidRPr="00CD5A97" w:rsidRDefault="00CD5A97" w:rsidP="004656A5">
            <w:pPr>
              <w:jc w:val="both"/>
              <w:rPr>
                <w:rFonts w:cstheme="minorHAnsi"/>
                <w:lang w:val="en-GB"/>
              </w:rPr>
            </w:pPr>
            <w:r w:rsidRPr="00CD5A97">
              <w:rPr>
                <w:rFonts w:cstheme="minorHAnsi"/>
                <w:lang w:val="en-GB"/>
              </w:rPr>
              <w:t xml:space="preserve">A5. </w:t>
            </w:r>
            <w:r w:rsidRPr="00CD5A97">
              <w:rPr>
                <w:rFonts w:cstheme="minorHAnsi"/>
                <w:b/>
                <w:lang w:val="en-GB"/>
              </w:rPr>
              <w:t>Final evaluation</w:t>
            </w:r>
            <w:r w:rsidRPr="00CD5A97">
              <w:rPr>
                <w:rFonts w:cstheme="minorHAnsi"/>
                <w:lang w:val="en-GB"/>
              </w:rPr>
              <w:t xml:space="preserve"> - Assessment of achievements, realization of the set goals and results of the project from the beginning of implementation </w:t>
            </w:r>
            <w:r w:rsidRPr="00CD5A97">
              <w:rPr>
                <w:rFonts w:cstheme="minorHAnsi"/>
                <w:lang w:val="mk-MK"/>
              </w:rPr>
              <w:t>(</w:t>
            </w:r>
            <w:r w:rsidRPr="00CD5A97">
              <w:rPr>
                <w:rFonts w:cstheme="minorHAnsi"/>
                <w:lang w:val="en-GB"/>
              </w:rPr>
              <w:t xml:space="preserve">1 </w:t>
            </w:r>
            <w:r w:rsidRPr="00CD5A97">
              <w:rPr>
                <w:rFonts w:cstheme="minorHAnsi"/>
                <w:lang w:val="mk-MK"/>
              </w:rPr>
              <w:t xml:space="preserve">February 2020 - until </w:t>
            </w:r>
            <w:r w:rsidRPr="00CD5A97">
              <w:rPr>
                <w:rFonts w:cstheme="minorHAnsi"/>
                <w:lang w:val="en-GB"/>
              </w:rPr>
              <w:t xml:space="preserve">31 </w:t>
            </w:r>
            <w:r w:rsidRPr="00CD5A97">
              <w:rPr>
                <w:rFonts w:cstheme="minorHAnsi"/>
                <w:lang w:val="mk-MK"/>
              </w:rPr>
              <w:t>January 2023)</w:t>
            </w:r>
          </w:p>
        </w:tc>
        <w:tc>
          <w:tcPr>
            <w:tcW w:w="1975" w:type="dxa"/>
          </w:tcPr>
          <w:p w:rsidR="001E6D3B" w:rsidRPr="009F0CEE" w:rsidRDefault="00CD5A97" w:rsidP="004656A5">
            <w:pPr>
              <w:jc w:val="both"/>
              <w:rPr>
                <w:rFonts w:cstheme="minorHAnsi"/>
                <w:lang w:val="mk-MK"/>
              </w:rPr>
            </w:pPr>
            <w:r>
              <w:rPr>
                <w:rFonts w:cstheme="minorHAnsi"/>
              </w:rPr>
              <w:t>31 March</w:t>
            </w:r>
            <w:r w:rsidR="001E6D3B">
              <w:rPr>
                <w:rFonts w:cstheme="minorHAnsi"/>
              </w:rPr>
              <w:t xml:space="preserve"> 2023</w:t>
            </w:r>
          </w:p>
        </w:tc>
      </w:tr>
    </w:tbl>
    <w:p w:rsidR="00563113" w:rsidRPr="00734FE1" w:rsidRDefault="00563113" w:rsidP="00386BFA">
      <w:pPr>
        <w:jc w:val="both"/>
        <w:rPr>
          <w:rFonts w:cstheme="minorHAnsi"/>
          <w:b/>
          <w:lang w:val="mk-MK"/>
        </w:rPr>
      </w:pPr>
    </w:p>
    <w:p w:rsidR="00CD5A97" w:rsidRDefault="00CD5A97" w:rsidP="00CD5A97">
      <w:pPr>
        <w:jc w:val="both"/>
      </w:pPr>
      <w:r w:rsidRPr="00D41433">
        <w:rPr>
          <w:b/>
        </w:rPr>
        <w:lastRenderedPageBreak/>
        <w:t>Note:</w:t>
      </w:r>
      <w:r>
        <w:t xml:space="preserve"> The timeframe is subject to change according to the needs of the project.</w:t>
      </w:r>
    </w:p>
    <w:p w:rsidR="00CD5A97" w:rsidRDefault="00CD5A97" w:rsidP="00CD5A97">
      <w:pPr>
        <w:jc w:val="both"/>
      </w:pPr>
      <w:r>
        <w:t>Any possible change initiated by the selected tenderer must be pre-approved by Metamorphosis.</w:t>
      </w:r>
    </w:p>
    <w:p w:rsidR="00CD5A97" w:rsidRDefault="00CD5A97" w:rsidP="00CD5A97">
      <w:pPr>
        <w:jc w:val="both"/>
      </w:pPr>
      <w:r>
        <w:t>The engagement includes follow-up meetings with project coordinators and partners in each country and the Metamorphosis Foundation team. Meetings can be conducted online or face-to-face.</w:t>
      </w:r>
    </w:p>
    <w:p w:rsidR="00563113" w:rsidRPr="00734FE1" w:rsidRDefault="00563113" w:rsidP="00386BFA">
      <w:pPr>
        <w:jc w:val="both"/>
        <w:rPr>
          <w:rFonts w:cstheme="minorHAnsi"/>
        </w:rPr>
      </w:pPr>
    </w:p>
    <w:p w:rsidR="00563113" w:rsidRPr="00734FE1" w:rsidRDefault="00CD5A97" w:rsidP="00386BFA">
      <w:pPr>
        <w:jc w:val="both"/>
        <w:rPr>
          <w:rFonts w:cstheme="minorHAnsi"/>
          <w:b/>
        </w:rPr>
      </w:pPr>
      <w:r>
        <w:rPr>
          <w:rFonts w:cstheme="minorHAnsi"/>
          <w:b/>
        </w:rPr>
        <w:t xml:space="preserve">Methodology and approach </w:t>
      </w:r>
    </w:p>
    <w:p w:rsidR="005B3BA6" w:rsidRPr="005B3BA6" w:rsidRDefault="005B3BA6" w:rsidP="005B3BA6">
      <w:pPr>
        <w:jc w:val="both"/>
        <w:rPr>
          <w:rFonts w:cstheme="minorHAnsi"/>
          <w:lang w:val="en-GB"/>
        </w:rPr>
      </w:pPr>
      <w:r w:rsidRPr="005B3BA6">
        <w:rPr>
          <w:rFonts w:cstheme="minorHAnsi"/>
          <w:lang w:val="en-GB"/>
        </w:rPr>
        <w:t>The project evaluation should be based on the following:</w:t>
      </w:r>
    </w:p>
    <w:p w:rsidR="005B3BA6" w:rsidRPr="005B3BA6" w:rsidRDefault="005B3BA6" w:rsidP="005B3BA6">
      <w:pPr>
        <w:pStyle w:val="ListParagraph"/>
        <w:numPr>
          <w:ilvl w:val="0"/>
          <w:numId w:val="29"/>
        </w:numPr>
        <w:jc w:val="both"/>
        <w:rPr>
          <w:rFonts w:cstheme="minorHAnsi"/>
          <w:lang w:val="en-GB"/>
        </w:rPr>
      </w:pPr>
      <w:r w:rsidRPr="005B3BA6">
        <w:rPr>
          <w:rFonts w:cstheme="minorHAnsi"/>
          <w:lang w:val="en-GB"/>
        </w:rPr>
        <w:t>Reports from project partners;</w:t>
      </w:r>
    </w:p>
    <w:p w:rsidR="005B3BA6" w:rsidRPr="005B3BA6" w:rsidRDefault="005B3BA6" w:rsidP="005B3BA6">
      <w:pPr>
        <w:pStyle w:val="ListParagraph"/>
        <w:numPr>
          <w:ilvl w:val="0"/>
          <w:numId w:val="29"/>
        </w:numPr>
        <w:jc w:val="both"/>
        <w:rPr>
          <w:rFonts w:cstheme="minorHAnsi"/>
          <w:lang w:val="en-GB"/>
        </w:rPr>
      </w:pPr>
      <w:r w:rsidRPr="005B3BA6">
        <w:rPr>
          <w:rFonts w:cstheme="minorHAnsi"/>
          <w:lang w:val="en-GB"/>
        </w:rPr>
        <w:t>Reports from grantees;</w:t>
      </w:r>
    </w:p>
    <w:p w:rsidR="005B3BA6" w:rsidRPr="005B3BA6" w:rsidRDefault="005B3BA6" w:rsidP="005B3BA6">
      <w:pPr>
        <w:pStyle w:val="ListParagraph"/>
        <w:numPr>
          <w:ilvl w:val="0"/>
          <w:numId w:val="29"/>
        </w:numPr>
        <w:jc w:val="both"/>
        <w:rPr>
          <w:rFonts w:cstheme="minorHAnsi"/>
          <w:lang w:val="en-GB"/>
        </w:rPr>
      </w:pPr>
      <w:r w:rsidRPr="005B3BA6">
        <w:rPr>
          <w:rFonts w:cstheme="minorHAnsi"/>
          <w:lang w:val="en-GB"/>
        </w:rPr>
        <w:t>Reports from the measurements through the Observatory of the Digital Agenda;</w:t>
      </w:r>
    </w:p>
    <w:p w:rsidR="005B3BA6" w:rsidRPr="005B3BA6" w:rsidRDefault="005B3BA6" w:rsidP="005B3BA6">
      <w:pPr>
        <w:pStyle w:val="ListParagraph"/>
        <w:numPr>
          <w:ilvl w:val="0"/>
          <w:numId w:val="29"/>
        </w:numPr>
        <w:jc w:val="both"/>
        <w:rPr>
          <w:rFonts w:cstheme="minorHAnsi"/>
          <w:lang w:val="en-GB"/>
        </w:rPr>
      </w:pPr>
      <w:r w:rsidRPr="005B3BA6">
        <w:rPr>
          <w:rFonts w:cstheme="minorHAnsi"/>
          <w:lang w:val="en-GB"/>
        </w:rPr>
        <w:t>Media analysis of the project;</w:t>
      </w:r>
    </w:p>
    <w:p w:rsidR="005B3BA6" w:rsidRPr="005B3BA6" w:rsidRDefault="005B3BA6" w:rsidP="005B3BA6">
      <w:pPr>
        <w:pStyle w:val="ListParagraph"/>
        <w:numPr>
          <w:ilvl w:val="0"/>
          <w:numId w:val="29"/>
        </w:numPr>
        <w:jc w:val="both"/>
        <w:rPr>
          <w:rFonts w:cstheme="minorHAnsi"/>
          <w:lang w:val="en-GB"/>
        </w:rPr>
      </w:pPr>
      <w:r w:rsidRPr="005B3BA6">
        <w:rPr>
          <w:rFonts w:cstheme="minorHAnsi"/>
          <w:lang w:val="en-GB"/>
        </w:rPr>
        <w:t>Other project documents.</w:t>
      </w:r>
    </w:p>
    <w:p w:rsidR="005B3BA6" w:rsidRPr="00A43D58" w:rsidRDefault="005B3BA6" w:rsidP="005B3BA6">
      <w:pPr>
        <w:rPr>
          <w:lang w:val="mk-MK"/>
        </w:rPr>
      </w:pPr>
      <w:r w:rsidRPr="00A43D58">
        <w:rPr>
          <w:lang w:val="mk-MK"/>
        </w:rPr>
        <w:t>The above mentioned documents will be submitted by the project team and partner organizations from the region. During the evaluation, the selected institution, individual, team of experts, company or similar organization should consider the following elements:</w:t>
      </w:r>
    </w:p>
    <w:p w:rsidR="005B3BA6" w:rsidRPr="005B3BA6" w:rsidRDefault="005B3BA6" w:rsidP="005B3BA6">
      <w:pPr>
        <w:pStyle w:val="ListParagraph"/>
        <w:numPr>
          <w:ilvl w:val="0"/>
          <w:numId w:val="30"/>
        </w:numPr>
        <w:rPr>
          <w:lang w:val="mk-MK"/>
        </w:rPr>
      </w:pPr>
      <w:r w:rsidRPr="005B3BA6">
        <w:rPr>
          <w:lang w:val="mk-MK"/>
        </w:rPr>
        <w:t>Performance (Balance between benefits/products and costs);</w:t>
      </w:r>
    </w:p>
    <w:p w:rsidR="005B3BA6" w:rsidRPr="005B3BA6" w:rsidRDefault="005B3BA6" w:rsidP="005B3BA6">
      <w:pPr>
        <w:pStyle w:val="ListParagraph"/>
        <w:numPr>
          <w:ilvl w:val="0"/>
          <w:numId w:val="30"/>
        </w:numPr>
        <w:rPr>
          <w:lang w:val="mk-MK"/>
        </w:rPr>
      </w:pPr>
      <w:r w:rsidRPr="005B3BA6">
        <w:rPr>
          <w:lang w:val="mk-MK"/>
        </w:rPr>
        <w:t>Process (Focus and style of participation);</w:t>
      </w:r>
    </w:p>
    <w:p w:rsidR="005B3BA6" w:rsidRPr="005B3BA6" w:rsidRDefault="005B3BA6" w:rsidP="005B3BA6">
      <w:pPr>
        <w:pStyle w:val="ListParagraph"/>
        <w:numPr>
          <w:ilvl w:val="0"/>
          <w:numId w:val="30"/>
        </w:numPr>
        <w:rPr>
          <w:lang w:val="mk-MK"/>
        </w:rPr>
      </w:pPr>
      <w:r w:rsidRPr="005B3BA6">
        <w:rPr>
          <w:lang w:val="mk-MK"/>
        </w:rPr>
        <w:t>Impact (The relationship between products and results);</w:t>
      </w:r>
    </w:p>
    <w:p w:rsidR="005B3BA6" w:rsidRPr="005B3BA6" w:rsidRDefault="005B3BA6" w:rsidP="005B3BA6">
      <w:pPr>
        <w:pStyle w:val="ListParagraph"/>
        <w:numPr>
          <w:ilvl w:val="0"/>
          <w:numId w:val="30"/>
        </w:numPr>
        <w:rPr>
          <w:lang w:val="mk-MK"/>
        </w:rPr>
      </w:pPr>
      <w:r w:rsidRPr="005B3BA6">
        <w:rPr>
          <w:lang w:val="mk-MK"/>
        </w:rPr>
        <w:t>Strategy (Did the activities reach the goals?).</w:t>
      </w:r>
    </w:p>
    <w:p w:rsidR="005B3BA6" w:rsidRPr="00A43D58" w:rsidRDefault="005B3BA6" w:rsidP="005B3BA6">
      <w:pPr>
        <w:rPr>
          <w:lang w:val="mk-MK"/>
        </w:rPr>
      </w:pPr>
      <w:r w:rsidRPr="00A43D58">
        <w:rPr>
          <w:lang w:val="mk-MK"/>
        </w:rPr>
        <w:t>The basis for measuring</w:t>
      </w:r>
      <w:r>
        <w:rPr>
          <w:lang w:val="mk-MK"/>
        </w:rPr>
        <w:t xml:space="preserve"> </w:t>
      </w:r>
      <w:r>
        <w:t>the</w:t>
      </w:r>
      <w:r w:rsidRPr="00A43D58">
        <w:rPr>
          <w:lang w:val="mk-MK"/>
        </w:rPr>
        <w:t xml:space="preserve"> impact and progress is the</w:t>
      </w:r>
      <w:r>
        <w:rPr>
          <w:lang w:val="mk-MK"/>
        </w:rPr>
        <w:t xml:space="preserve"> </w:t>
      </w:r>
      <w:r w:rsidRPr="001E6D3B">
        <w:rPr>
          <w:rFonts w:cstheme="minorHAnsi"/>
        </w:rPr>
        <w:t>Baseline Research of State of e-Government Development &amp; Digital literacy in Western Balkan Countries</w:t>
      </w:r>
      <w:r>
        <w:rPr>
          <w:rFonts w:cstheme="minorHAnsi"/>
        </w:rPr>
        <w:t>.</w:t>
      </w:r>
    </w:p>
    <w:p w:rsidR="005B3BA6" w:rsidRPr="00A43D58" w:rsidRDefault="005B3BA6" w:rsidP="005B3BA6">
      <w:pPr>
        <w:rPr>
          <w:lang w:val="mk-MK"/>
        </w:rPr>
      </w:pPr>
      <w:r w:rsidRPr="00A43D58">
        <w:rPr>
          <w:lang w:val="mk-MK"/>
        </w:rPr>
        <w:t>The OECD-DAC and EU evaluation criteria will also need to be taken into account in the evaluation.</w:t>
      </w:r>
    </w:p>
    <w:p w:rsidR="00DD148F" w:rsidRPr="00734FE1" w:rsidRDefault="00DD148F" w:rsidP="00386BFA">
      <w:pPr>
        <w:jc w:val="both"/>
        <w:rPr>
          <w:rFonts w:cstheme="minorHAnsi"/>
          <w:lang w:val="mk-MK"/>
        </w:rPr>
      </w:pPr>
    </w:p>
    <w:p w:rsidR="00386BFA" w:rsidRPr="00734FE1" w:rsidRDefault="005B3BA6" w:rsidP="005B3BA6">
      <w:pPr>
        <w:pStyle w:val="Default"/>
        <w:numPr>
          <w:ilvl w:val="0"/>
          <w:numId w:val="24"/>
        </w:numPr>
        <w:jc w:val="both"/>
        <w:rPr>
          <w:rFonts w:asciiTheme="minorHAnsi" w:hAnsiTheme="minorHAnsi" w:cstheme="minorHAnsi"/>
          <w:sz w:val="22"/>
          <w:szCs w:val="22"/>
        </w:rPr>
      </w:pPr>
      <w:r w:rsidRPr="005B3BA6">
        <w:rPr>
          <w:rFonts w:asciiTheme="minorHAnsi" w:hAnsiTheme="minorHAnsi" w:cstheme="minorHAnsi"/>
          <w:b/>
          <w:color w:val="auto"/>
          <w:sz w:val="22"/>
          <w:szCs w:val="22"/>
        </w:rPr>
        <w:t>Conditions and criteria for participating in the call</w:t>
      </w:r>
    </w:p>
    <w:p w:rsidR="005B3BA6" w:rsidRPr="00A43D58" w:rsidRDefault="005B3BA6" w:rsidP="005B3BA6">
      <w:pPr>
        <w:rPr>
          <w:lang w:val="mk-MK"/>
        </w:rPr>
      </w:pPr>
      <w:r w:rsidRPr="00A43D58">
        <w:rPr>
          <w:lang w:val="mk-MK"/>
        </w:rPr>
        <w:t>To participate in the contract award procedure, bidders must meet the following criteria for determining their eligibility:</w:t>
      </w:r>
    </w:p>
    <w:p w:rsidR="005B3BA6" w:rsidRPr="005B3BA6" w:rsidRDefault="005B3BA6" w:rsidP="005B3BA6">
      <w:pPr>
        <w:pStyle w:val="ListParagraph"/>
        <w:numPr>
          <w:ilvl w:val="0"/>
          <w:numId w:val="31"/>
        </w:numPr>
        <w:rPr>
          <w:lang w:val="mk-MK"/>
        </w:rPr>
      </w:pPr>
      <w:r w:rsidRPr="005B3BA6">
        <w:rPr>
          <w:lang w:val="mk-MK"/>
        </w:rPr>
        <w:t>Previous experience with project evaluation (at least 2 project evaluations in the last 5 years);</w:t>
      </w:r>
    </w:p>
    <w:p w:rsidR="005B3BA6" w:rsidRPr="005B3BA6" w:rsidRDefault="005B3BA6" w:rsidP="005B3BA6">
      <w:pPr>
        <w:pStyle w:val="ListParagraph"/>
        <w:numPr>
          <w:ilvl w:val="0"/>
          <w:numId w:val="31"/>
        </w:numPr>
        <w:rPr>
          <w:lang w:val="mk-MK"/>
        </w:rPr>
      </w:pPr>
      <w:r w:rsidRPr="005B3BA6">
        <w:rPr>
          <w:lang w:val="mk-MK"/>
        </w:rPr>
        <w:t>High level of knowledge and application of English (oral and written);</w:t>
      </w:r>
    </w:p>
    <w:p w:rsidR="005B3BA6" w:rsidRPr="005B3BA6" w:rsidRDefault="005B3BA6" w:rsidP="005B3BA6">
      <w:pPr>
        <w:pStyle w:val="ListParagraph"/>
        <w:numPr>
          <w:ilvl w:val="0"/>
          <w:numId w:val="31"/>
        </w:numPr>
        <w:rPr>
          <w:lang w:val="mk-MK"/>
        </w:rPr>
      </w:pPr>
      <w:r w:rsidRPr="005B3BA6">
        <w:rPr>
          <w:lang w:val="mk-MK"/>
        </w:rPr>
        <w:t>Knowledge of the area will be considered an advantage;</w:t>
      </w:r>
    </w:p>
    <w:p w:rsidR="005B3BA6" w:rsidRDefault="005B3BA6" w:rsidP="005B3BA6">
      <w:pPr>
        <w:pStyle w:val="ListParagraph"/>
        <w:numPr>
          <w:ilvl w:val="0"/>
          <w:numId w:val="31"/>
        </w:numPr>
        <w:rPr>
          <w:lang w:val="mk-MK"/>
        </w:rPr>
      </w:pPr>
      <w:r w:rsidRPr="005B3BA6">
        <w:rPr>
          <w:lang w:val="mk-MK"/>
        </w:rPr>
        <w:t>Positive attitude and ability to work with strict deadlines;</w:t>
      </w:r>
    </w:p>
    <w:p w:rsidR="005B3BA6" w:rsidRPr="005B3BA6" w:rsidRDefault="005B3BA6" w:rsidP="005B3BA6">
      <w:pPr>
        <w:pStyle w:val="ListParagraph"/>
        <w:numPr>
          <w:ilvl w:val="0"/>
          <w:numId w:val="31"/>
        </w:numPr>
        <w:rPr>
          <w:lang w:val="mk-MK"/>
        </w:rPr>
      </w:pPr>
      <w:r w:rsidRPr="005B3BA6">
        <w:rPr>
          <w:lang w:val="mk-MK"/>
        </w:rPr>
        <w:t xml:space="preserve"> Willingness to participate in project-related meetings and events, online, in-country and abroad (if conditions permit).</w:t>
      </w:r>
    </w:p>
    <w:p w:rsidR="00CE6E3C" w:rsidRPr="00734FE1" w:rsidRDefault="00CE6E3C" w:rsidP="00386BFA">
      <w:pPr>
        <w:pStyle w:val="ListParagraph"/>
        <w:jc w:val="both"/>
        <w:rPr>
          <w:rFonts w:cstheme="minorHAnsi"/>
          <w:b/>
        </w:rPr>
      </w:pPr>
    </w:p>
    <w:p w:rsidR="00A35FF2" w:rsidRPr="00590A30" w:rsidRDefault="00590A30" w:rsidP="00204591">
      <w:pPr>
        <w:pStyle w:val="ListParagraph"/>
        <w:numPr>
          <w:ilvl w:val="0"/>
          <w:numId w:val="24"/>
        </w:numPr>
        <w:jc w:val="both"/>
        <w:rPr>
          <w:rFonts w:cstheme="minorHAnsi"/>
          <w:b/>
          <w:lang w:val="mk-MK"/>
        </w:rPr>
      </w:pPr>
      <w:r w:rsidRPr="00590A30">
        <w:rPr>
          <w:b/>
          <w:lang w:val="mk-MK"/>
        </w:rPr>
        <w:t xml:space="preserve">The </w:t>
      </w:r>
      <w:r w:rsidRPr="00590A30">
        <w:rPr>
          <w:b/>
        </w:rPr>
        <w:t>tender</w:t>
      </w:r>
      <w:r w:rsidRPr="00590A30">
        <w:rPr>
          <w:b/>
          <w:lang w:val="mk-MK"/>
        </w:rPr>
        <w:t xml:space="preserve"> should contain the following elements</w:t>
      </w:r>
      <w:r w:rsidR="00A35FF2" w:rsidRPr="00590A30">
        <w:rPr>
          <w:rFonts w:cstheme="minorHAnsi"/>
          <w:b/>
          <w:lang w:val="mk-MK"/>
        </w:rPr>
        <w:t xml:space="preserve">: </w:t>
      </w:r>
    </w:p>
    <w:p w:rsidR="00590A30" w:rsidRDefault="00590A30" w:rsidP="00386BFA">
      <w:pPr>
        <w:pStyle w:val="ListParagraph"/>
        <w:numPr>
          <w:ilvl w:val="1"/>
          <w:numId w:val="18"/>
        </w:numPr>
        <w:jc w:val="both"/>
        <w:rPr>
          <w:rFonts w:cstheme="minorHAnsi"/>
          <w:lang w:val="mk-MK"/>
        </w:rPr>
      </w:pPr>
      <w:r w:rsidRPr="00590A30">
        <w:rPr>
          <w:rFonts w:cstheme="minorHAnsi"/>
          <w:lang w:val="en-GB"/>
        </w:rPr>
        <w:t>The financial offer should be prepared according to the form given in Annex 1</w:t>
      </w:r>
      <w:r>
        <w:rPr>
          <w:rFonts w:cstheme="minorHAnsi"/>
          <w:lang w:val="mk-MK"/>
        </w:rPr>
        <w:t>.</w:t>
      </w:r>
    </w:p>
    <w:p w:rsidR="00A35FF2" w:rsidRPr="00734FE1" w:rsidRDefault="00590A30" w:rsidP="00386BFA">
      <w:pPr>
        <w:pStyle w:val="ListParagraph"/>
        <w:numPr>
          <w:ilvl w:val="1"/>
          <w:numId w:val="18"/>
        </w:numPr>
        <w:jc w:val="both"/>
        <w:rPr>
          <w:rFonts w:cstheme="minorHAnsi"/>
          <w:lang w:val="mk-MK"/>
        </w:rPr>
      </w:pPr>
      <w:r w:rsidRPr="00590A30">
        <w:rPr>
          <w:rFonts w:cstheme="minorHAnsi"/>
          <w:lang w:val="en-GB"/>
        </w:rPr>
        <w:lastRenderedPageBreak/>
        <w:t>Documents proving technical and professional ability</w:t>
      </w:r>
      <w:r w:rsidR="00A35FF2" w:rsidRPr="00734FE1">
        <w:rPr>
          <w:rFonts w:cstheme="minorHAnsi"/>
        </w:rPr>
        <w:t>:</w:t>
      </w:r>
    </w:p>
    <w:p w:rsidR="00590A30" w:rsidRDefault="00590A30" w:rsidP="00590A30">
      <w:pPr>
        <w:pStyle w:val="ListParagraph"/>
        <w:numPr>
          <w:ilvl w:val="0"/>
          <w:numId w:val="32"/>
        </w:numPr>
        <w:spacing w:after="200" w:line="276" w:lineRule="auto"/>
        <w:jc w:val="both"/>
      </w:pPr>
      <w:r>
        <w:t xml:space="preserve">Statement of non-existence of conditions for exclusion of a supplier according to the form given in </w:t>
      </w:r>
      <w:r w:rsidRPr="008A0ECF">
        <w:rPr>
          <w:highlight w:val="yellow"/>
        </w:rPr>
        <w:t>Annex 2</w:t>
      </w:r>
      <w:r>
        <w:t>.</w:t>
      </w:r>
    </w:p>
    <w:p w:rsidR="00590A30" w:rsidRDefault="00590A30" w:rsidP="00590A30">
      <w:pPr>
        <w:pStyle w:val="ListParagraph"/>
        <w:numPr>
          <w:ilvl w:val="0"/>
          <w:numId w:val="32"/>
        </w:numPr>
        <w:spacing w:after="200" w:line="276" w:lineRule="auto"/>
        <w:jc w:val="both"/>
      </w:pPr>
      <w:r>
        <w:t xml:space="preserve">Statement of acceptance of the terms of the call given as </w:t>
      </w:r>
      <w:r w:rsidRPr="008A0ECF">
        <w:rPr>
          <w:highlight w:val="yellow"/>
        </w:rPr>
        <w:t>Annex 3</w:t>
      </w:r>
      <w:r>
        <w:t>.</w:t>
      </w:r>
    </w:p>
    <w:p w:rsidR="00590A30" w:rsidRDefault="00590A30" w:rsidP="00590A30">
      <w:pPr>
        <w:pStyle w:val="ListParagraph"/>
        <w:numPr>
          <w:ilvl w:val="0"/>
          <w:numId w:val="32"/>
        </w:numPr>
        <w:spacing w:after="200" w:line="276" w:lineRule="auto"/>
        <w:jc w:val="both"/>
      </w:pPr>
      <w:r w:rsidRPr="008A0ECF">
        <w:t xml:space="preserve">CV for each expert </w:t>
      </w:r>
      <w:r>
        <w:t>that</w:t>
      </w:r>
      <w:r w:rsidRPr="008A0ECF">
        <w:t xml:space="preserve"> will contain a detailed and clear explanation of the required qualifications listed in the</w:t>
      </w:r>
      <w:r>
        <w:t xml:space="preserve"> Instructions to tenderers</w:t>
      </w:r>
      <w:r w:rsidRPr="008A0ECF">
        <w:t>. Metamorphosis has the right to request evidence of any qualifications listed in the CV of the proposed experts</w:t>
      </w:r>
    </w:p>
    <w:p w:rsidR="00590A30" w:rsidRPr="00321572" w:rsidRDefault="00590A30" w:rsidP="00590A30">
      <w:pPr>
        <w:rPr>
          <w:lang w:val="mk-MK"/>
        </w:rPr>
      </w:pPr>
      <w:r w:rsidRPr="00321572">
        <w:rPr>
          <w:lang w:val="mk-MK"/>
        </w:rPr>
        <w:t xml:space="preserve">Each </w:t>
      </w:r>
      <w:r>
        <w:t>tenderer</w:t>
      </w:r>
      <w:r w:rsidRPr="00321572">
        <w:rPr>
          <w:lang w:val="mk-MK"/>
        </w:rPr>
        <w:t xml:space="preserve"> can participate with only one </w:t>
      </w:r>
      <w:r>
        <w:t>tender</w:t>
      </w:r>
      <w:r w:rsidRPr="00321572">
        <w:rPr>
          <w:lang w:val="mk-MK"/>
        </w:rPr>
        <w:t>.</w:t>
      </w:r>
    </w:p>
    <w:p w:rsidR="00590A30" w:rsidRPr="00321572" w:rsidRDefault="00590A30" w:rsidP="00590A30">
      <w:pPr>
        <w:rPr>
          <w:lang w:val="mk-MK"/>
        </w:rPr>
      </w:pPr>
      <w:r>
        <w:rPr>
          <w:lang w:val="mk-MK"/>
        </w:rPr>
        <w:t xml:space="preserve">The </w:t>
      </w:r>
      <w:r>
        <w:t>tender</w:t>
      </w:r>
      <w:r w:rsidRPr="00321572">
        <w:rPr>
          <w:lang w:val="mk-MK"/>
        </w:rPr>
        <w:t xml:space="preserve">, as well as all correspondence and documents related to the </w:t>
      </w:r>
      <w:r>
        <w:t>tender</w:t>
      </w:r>
      <w:r w:rsidRPr="00321572">
        <w:rPr>
          <w:lang w:val="mk-MK"/>
        </w:rPr>
        <w:t xml:space="preserve"> that are exchanged with the </w:t>
      </w:r>
      <w:r>
        <w:t>tenderer</w:t>
      </w:r>
      <w:r w:rsidRPr="00321572">
        <w:rPr>
          <w:lang w:val="mk-MK"/>
        </w:rPr>
        <w:t xml:space="preserve">, are written in Macedonian or English filled in manually or </w:t>
      </w:r>
      <w:r>
        <w:t>electronically.</w:t>
      </w:r>
    </w:p>
    <w:p w:rsidR="00590A30" w:rsidRPr="00A43D58" w:rsidRDefault="00590A30" w:rsidP="00590A30">
      <w:pPr>
        <w:rPr>
          <w:lang w:val="mk-MK"/>
        </w:rPr>
      </w:pPr>
      <w:r>
        <w:rPr>
          <w:lang w:val="mk-MK"/>
        </w:rPr>
        <w:t xml:space="preserve">Those </w:t>
      </w:r>
      <w:r>
        <w:t>tenders</w:t>
      </w:r>
      <w:r w:rsidRPr="00321572">
        <w:rPr>
          <w:lang w:val="mk-MK"/>
        </w:rPr>
        <w:t xml:space="preserve"> that will not contain the necessary elements or are not made according to the propositions of the call, will not be considered for further evaluation.</w:t>
      </w:r>
    </w:p>
    <w:p w:rsidR="00204591" w:rsidRPr="00590A30" w:rsidRDefault="00204591" w:rsidP="00590A30">
      <w:pPr>
        <w:jc w:val="both"/>
        <w:rPr>
          <w:rFonts w:cstheme="minorHAnsi"/>
          <w:lang w:val="mk-MK"/>
        </w:rPr>
      </w:pPr>
    </w:p>
    <w:p w:rsidR="00204591" w:rsidRPr="00734FE1" w:rsidRDefault="00590A30" w:rsidP="00204591">
      <w:pPr>
        <w:pStyle w:val="ListParagraph"/>
        <w:numPr>
          <w:ilvl w:val="0"/>
          <w:numId w:val="24"/>
        </w:numPr>
        <w:jc w:val="both"/>
        <w:rPr>
          <w:rFonts w:cstheme="minorHAnsi"/>
          <w:b/>
          <w:lang w:val="mk-MK"/>
        </w:rPr>
      </w:pPr>
      <w:r w:rsidRPr="00590A30">
        <w:rPr>
          <w:rFonts w:cstheme="minorHAnsi"/>
          <w:b/>
        </w:rPr>
        <w:t>Period during which tenders are binding</w:t>
      </w:r>
    </w:p>
    <w:p w:rsidR="00204591" w:rsidRDefault="00590A30" w:rsidP="00590A30">
      <w:pPr>
        <w:rPr>
          <w:lang w:val="en-GB"/>
        </w:rPr>
      </w:pPr>
      <w:r w:rsidRPr="00321572">
        <w:t xml:space="preserve">The </w:t>
      </w:r>
      <w:r>
        <w:t xml:space="preserve">tender binging </w:t>
      </w:r>
      <w:r w:rsidRPr="00321572">
        <w:t xml:space="preserve">period should be at least 30 days from the day of the deadline for submission of </w:t>
      </w:r>
      <w:r>
        <w:t>tenders during which period</w:t>
      </w:r>
      <w:r w:rsidRPr="00321572">
        <w:t xml:space="preserve"> the </w:t>
      </w:r>
      <w:r>
        <w:t>bid in all its elements are binding for</w:t>
      </w:r>
      <w:r w:rsidRPr="00321572">
        <w:t xml:space="preserve"> the </w:t>
      </w:r>
      <w:r>
        <w:t>tenderer</w:t>
      </w:r>
      <w:r w:rsidRPr="00321572">
        <w:t>.</w:t>
      </w:r>
    </w:p>
    <w:p w:rsidR="00590A30" w:rsidRPr="00590A30" w:rsidRDefault="00590A30" w:rsidP="00590A30">
      <w:pPr>
        <w:rPr>
          <w:lang w:val="en-GB"/>
        </w:rPr>
      </w:pPr>
    </w:p>
    <w:p w:rsidR="0027019C" w:rsidRPr="00734FE1" w:rsidRDefault="00A63D40" w:rsidP="0027019C">
      <w:pPr>
        <w:pStyle w:val="ListParagraph"/>
        <w:numPr>
          <w:ilvl w:val="0"/>
          <w:numId w:val="24"/>
        </w:numPr>
        <w:jc w:val="both"/>
        <w:rPr>
          <w:rFonts w:cstheme="minorHAnsi"/>
          <w:b/>
          <w:lang w:val="mk-MK"/>
        </w:rPr>
      </w:pPr>
      <w:r>
        <w:rPr>
          <w:rFonts w:cstheme="minorHAnsi"/>
          <w:b/>
          <w:lang w:val="en-GB"/>
        </w:rPr>
        <w:t>Clarification of</w:t>
      </w:r>
      <w:r w:rsidR="00590A30">
        <w:rPr>
          <w:rFonts w:cstheme="minorHAnsi"/>
          <w:b/>
          <w:lang w:val="en-GB"/>
        </w:rPr>
        <w:t xml:space="preserve"> the tender documentation</w:t>
      </w:r>
    </w:p>
    <w:p w:rsidR="00A63D40" w:rsidRDefault="00A63D40" w:rsidP="00A63D40">
      <w:r>
        <w:t xml:space="preserve">All requests for clarifications of the tender documentation can be sent to e-mail: </w:t>
      </w:r>
      <w:hyperlink r:id="rId8" w:history="1">
        <w:r w:rsidRPr="00734FE1">
          <w:rPr>
            <w:rStyle w:val="Hyperlink"/>
            <w:rFonts w:cstheme="minorHAnsi"/>
          </w:rPr>
          <w:t>mila@metamorphosis.org.mk</w:t>
        </w:r>
      </w:hyperlink>
      <w:r>
        <w:t>, no later than 10 August 2020.</w:t>
      </w:r>
    </w:p>
    <w:p w:rsidR="00A63D40" w:rsidRPr="00D41433" w:rsidRDefault="00A63D40" w:rsidP="00A63D40">
      <w:pPr>
        <w:rPr>
          <w:lang w:val="en-GB"/>
        </w:rPr>
      </w:pPr>
      <w:r>
        <w:t>The requested clarifications after the tender documentation will be published no later than 3 days before the deadline for submission of tenders in the same way as this call was published.</w:t>
      </w:r>
    </w:p>
    <w:p w:rsidR="0027019C" w:rsidRPr="00734FE1" w:rsidRDefault="0027019C" w:rsidP="0027019C">
      <w:pPr>
        <w:tabs>
          <w:tab w:val="left" w:pos="284"/>
        </w:tabs>
        <w:rPr>
          <w:rFonts w:cstheme="minorHAnsi"/>
        </w:rPr>
      </w:pPr>
    </w:p>
    <w:p w:rsidR="00A63D40" w:rsidRDefault="0027019C" w:rsidP="00A63D40">
      <w:r w:rsidRPr="00734FE1">
        <w:rPr>
          <w:rFonts w:cstheme="minorHAnsi"/>
          <w:b/>
        </w:rPr>
        <w:t xml:space="preserve">10. </w:t>
      </w:r>
      <w:r w:rsidR="00A63D40" w:rsidRPr="00A63D40">
        <w:rPr>
          <w:b/>
        </w:rPr>
        <w:t>Amendments to the tender documentation</w:t>
      </w:r>
    </w:p>
    <w:p w:rsidR="00A63D40" w:rsidRPr="00A63D40" w:rsidRDefault="00A63D40" w:rsidP="00A63D40">
      <w:pPr>
        <w:jc w:val="both"/>
        <w:rPr>
          <w:rFonts w:cstheme="minorHAnsi"/>
          <w:lang w:val="en-GB"/>
        </w:rPr>
      </w:pPr>
      <w:r w:rsidRPr="00A63D40">
        <w:rPr>
          <w:rFonts w:cstheme="minorHAnsi"/>
          <w:lang w:val="en-GB"/>
        </w:rPr>
        <w:t>Metamorphosis reserves the right, no later than 5 days before the deadline for submission of tenders, at its discretion or based on the submitted explanatory questions by the tenderers, to amend or supplement the tender documentation. This will be published immediately and potential tenderers who have submitted a request for clarification will be notified.</w:t>
      </w:r>
    </w:p>
    <w:p w:rsidR="0027019C" w:rsidRDefault="00A63D40" w:rsidP="00204591">
      <w:pPr>
        <w:jc w:val="both"/>
        <w:rPr>
          <w:rFonts w:cstheme="minorHAnsi"/>
          <w:lang w:val="en-GB"/>
        </w:rPr>
      </w:pPr>
      <w:r w:rsidRPr="00A63D40">
        <w:rPr>
          <w:rFonts w:cstheme="minorHAnsi"/>
          <w:lang w:val="en-GB"/>
        </w:rPr>
        <w:t>In case of change of the tender documentation, Metamorphosis may extend the deadline for submission of the tender upon request if there are justified reasons for that, and will make an appropriate announcement.</w:t>
      </w:r>
    </w:p>
    <w:p w:rsidR="00A63D40" w:rsidRPr="00A63D40" w:rsidRDefault="00A63D40" w:rsidP="00204591">
      <w:pPr>
        <w:jc w:val="both"/>
        <w:rPr>
          <w:rFonts w:cstheme="minorHAnsi"/>
          <w:lang w:val="en-GB"/>
        </w:rPr>
      </w:pPr>
    </w:p>
    <w:p w:rsidR="00A63D40" w:rsidRPr="00A63D40" w:rsidRDefault="00A63D40" w:rsidP="00A63D40">
      <w:pPr>
        <w:pStyle w:val="ListParagraph"/>
        <w:numPr>
          <w:ilvl w:val="0"/>
          <w:numId w:val="24"/>
        </w:numPr>
        <w:jc w:val="both"/>
        <w:rPr>
          <w:b/>
        </w:rPr>
      </w:pPr>
      <w:r w:rsidRPr="00A63D40">
        <w:rPr>
          <w:b/>
        </w:rPr>
        <w:t>Manner of submitting tenders</w:t>
      </w:r>
    </w:p>
    <w:p w:rsidR="00A63D40" w:rsidRDefault="00A63D40" w:rsidP="00A63D40">
      <w:pPr>
        <w:ind w:left="720"/>
        <w:jc w:val="both"/>
      </w:pPr>
      <w:r>
        <w:lastRenderedPageBreak/>
        <w:t>• Tenders are submitted in Macedonian or English.</w:t>
      </w:r>
    </w:p>
    <w:p w:rsidR="00A63D40" w:rsidRDefault="00A63D40" w:rsidP="00A63D40">
      <w:pPr>
        <w:ind w:left="720"/>
        <w:jc w:val="both"/>
      </w:pPr>
      <w:r>
        <w:t xml:space="preserve">• Tenders should be submitted electronically by e-mail to </w:t>
      </w:r>
      <w:hyperlink r:id="rId9" w:history="1">
        <w:r w:rsidRPr="008A0ECF">
          <w:rPr>
            <w:rStyle w:val="Hyperlink"/>
          </w:rPr>
          <w:t>mila@metamorphosis.org.mk</w:t>
        </w:r>
      </w:hyperlink>
      <w:r>
        <w:t xml:space="preserve">, by courier service or in person in a sealed envelope marked "DO NOT OPEN" for "IECEDA" Project- Competition for project evaluation. </w:t>
      </w:r>
    </w:p>
    <w:p w:rsidR="00A63D40" w:rsidRDefault="00A63D40" w:rsidP="00A63D40">
      <w:pPr>
        <w:ind w:left="720"/>
        <w:jc w:val="both"/>
      </w:pPr>
      <w:r>
        <w:t>• Tenders must be original and signed, and if submitted electronically, the signed originals must be scanned.</w:t>
      </w:r>
    </w:p>
    <w:p w:rsidR="002C58CB" w:rsidRPr="00734FE1" w:rsidRDefault="002C58CB" w:rsidP="002C58CB">
      <w:pPr>
        <w:pStyle w:val="ListParagraph"/>
        <w:jc w:val="both"/>
        <w:rPr>
          <w:rFonts w:cstheme="minorHAnsi"/>
        </w:rPr>
      </w:pPr>
    </w:p>
    <w:p w:rsidR="00F853CD" w:rsidRPr="00A63D40" w:rsidRDefault="00A63D40" w:rsidP="00A63D40">
      <w:pPr>
        <w:pStyle w:val="NormalWeb"/>
        <w:numPr>
          <w:ilvl w:val="0"/>
          <w:numId w:val="24"/>
        </w:numPr>
        <w:shd w:val="clear" w:color="auto" w:fill="FFFFFF"/>
        <w:spacing w:after="120"/>
        <w:rPr>
          <w:rFonts w:asciiTheme="minorHAnsi" w:hAnsiTheme="minorHAnsi" w:cstheme="minorHAnsi"/>
          <w:b/>
          <w:color w:val="000000"/>
          <w:lang w:val="en-GB"/>
        </w:rPr>
      </w:pPr>
      <w:r w:rsidRPr="00A63D40">
        <w:rPr>
          <w:rFonts w:asciiTheme="minorHAnsi" w:hAnsiTheme="minorHAnsi" w:cstheme="minorHAnsi"/>
          <w:b/>
          <w:color w:val="000000"/>
          <w:lang w:val="en-GB"/>
        </w:rPr>
        <w:t xml:space="preserve">The deadline for submission of tenders is 17 August 2020 until 16:00. </w:t>
      </w:r>
    </w:p>
    <w:p w:rsidR="00A63D40" w:rsidRPr="00D41433" w:rsidRDefault="00A63D40" w:rsidP="00A63D40">
      <w:pPr>
        <w:rPr>
          <w:lang w:val="en-GB"/>
        </w:rPr>
      </w:pPr>
      <w:r>
        <w:t>The tenders</w:t>
      </w:r>
      <w:r w:rsidRPr="00250584">
        <w:t xml:space="preserve"> that will arrive after the stated deadline will not be considered for further evaluation.</w:t>
      </w:r>
    </w:p>
    <w:p w:rsidR="002C58CB" w:rsidRPr="00734FE1" w:rsidRDefault="002C58CB" w:rsidP="00F853CD">
      <w:pPr>
        <w:spacing w:after="120" w:line="240" w:lineRule="auto"/>
        <w:jc w:val="both"/>
        <w:rPr>
          <w:rFonts w:cstheme="minorHAnsi"/>
          <w:lang w:val="mk-MK"/>
        </w:rPr>
      </w:pPr>
    </w:p>
    <w:p w:rsidR="002C58CB" w:rsidRPr="00734FE1" w:rsidRDefault="00A63D40" w:rsidP="002C58CB">
      <w:pPr>
        <w:pStyle w:val="ListParagraph"/>
        <w:numPr>
          <w:ilvl w:val="0"/>
          <w:numId w:val="24"/>
        </w:numPr>
        <w:spacing w:after="60" w:line="240" w:lineRule="auto"/>
        <w:jc w:val="both"/>
        <w:rPr>
          <w:rFonts w:eastAsia="Times New Roman" w:cstheme="minorHAnsi"/>
          <w:b/>
          <w:color w:val="000000"/>
          <w:lang w:val="mk-MK"/>
        </w:rPr>
      </w:pPr>
      <w:r w:rsidRPr="00A63D40">
        <w:rPr>
          <w:rFonts w:eastAsia="Times New Roman" w:cstheme="minorHAnsi"/>
          <w:b/>
          <w:color w:val="000000"/>
          <w:lang w:val="en-GB"/>
        </w:rPr>
        <w:t>Method and conditions of payment</w:t>
      </w:r>
    </w:p>
    <w:p w:rsidR="00A63D40" w:rsidRDefault="00A63D40" w:rsidP="00A63D40">
      <w:r>
        <w:t>The payment will be made after the realization of the service, i.e. after submitting a report on the work done and its approval by the project.</w:t>
      </w:r>
    </w:p>
    <w:p w:rsidR="00A83496" w:rsidRPr="00A63D40" w:rsidRDefault="00A63D40" w:rsidP="00A63D40">
      <w:pPr>
        <w:rPr>
          <w:lang w:val="en-GB"/>
        </w:rPr>
      </w:pPr>
      <w:r>
        <w:t>50% of the tender amount will be paid upon submission of the mid-term evaluation report and its approval by the project. The remaining 50% of the tender amount will be paid after the submission of the final evaluation report and its approval by the project.</w:t>
      </w:r>
    </w:p>
    <w:p w:rsidR="00C55CF6" w:rsidRPr="00A63D40" w:rsidRDefault="00A63D40" w:rsidP="002018FB">
      <w:pPr>
        <w:pStyle w:val="NormalWeb"/>
        <w:numPr>
          <w:ilvl w:val="0"/>
          <w:numId w:val="24"/>
        </w:numPr>
        <w:shd w:val="clear" w:color="auto" w:fill="FFFFFF"/>
        <w:spacing w:line="253" w:lineRule="atLeast"/>
        <w:jc w:val="both"/>
        <w:rPr>
          <w:rFonts w:asciiTheme="minorHAnsi" w:hAnsiTheme="minorHAnsi" w:cstheme="minorHAnsi"/>
          <w:b/>
          <w:color w:val="000000"/>
          <w:sz w:val="22"/>
          <w:szCs w:val="22"/>
          <w:lang w:val="mk-MK"/>
        </w:rPr>
      </w:pPr>
      <w:r w:rsidRPr="00A63D40">
        <w:rPr>
          <w:rFonts w:asciiTheme="minorHAnsi" w:hAnsiTheme="minorHAnsi" w:cstheme="minorHAnsi"/>
          <w:b/>
          <w:color w:val="000000"/>
          <w:sz w:val="22"/>
          <w:szCs w:val="22"/>
          <w:lang w:val="mk-MK"/>
        </w:rPr>
        <w:t>Criteria for</w:t>
      </w:r>
      <w:r>
        <w:rPr>
          <w:rFonts w:asciiTheme="minorHAnsi" w:hAnsiTheme="minorHAnsi" w:cstheme="minorHAnsi"/>
          <w:b/>
          <w:color w:val="000000"/>
          <w:sz w:val="22"/>
          <w:szCs w:val="22"/>
          <w:lang w:val="en-GB"/>
        </w:rPr>
        <w:t xml:space="preserve"> contract</w:t>
      </w:r>
      <w:r w:rsidRPr="00A63D40">
        <w:rPr>
          <w:rFonts w:asciiTheme="minorHAnsi" w:hAnsiTheme="minorHAnsi" w:cstheme="minorHAnsi"/>
          <w:b/>
          <w:color w:val="000000"/>
          <w:sz w:val="22"/>
          <w:szCs w:val="22"/>
          <w:lang w:val="mk-MK"/>
        </w:rPr>
        <w:t xml:space="preserve"> awarding</w:t>
      </w:r>
    </w:p>
    <w:p w:rsidR="00A63D40" w:rsidRPr="00A63D40" w:rsidRDefault="00A63D40" w:rsidP="00A63D40">
      <w:pPr>
        <w:rPr>
          <w:lang w:val="en-GB"/>
        </w:rPr>
      </w:pPr>
      <w:r w:rsidRPr="00250584">
        <w:t>The selection of suppliers will be done by evaluating the qualitative and financial offer (80 points for quality offer and 20 points for financial offer).</w:t>
      </w:r>
    </w:p>
    <w:tbl>
      <w:tblPr>
        <w:tblStyle w:val="TableGrid"/>
        <w:tblW w:w="0" w:type="auto"/>
        <w:tblLook w:val="04A0"/>
      </w:tblPr>
      <w:tblGrid>
        <w:gridCol w:w="7027"/>
        <w:gridCol w:w="2503"/>
      </w:tblGrid>
      <w:tr w:rsidR="00C55CF6" w:rsidRPr="00734FE1" w:rsidTr="00BB067B">
        <w:tc>
          <w:tcPr>
            <w:tcW w:w="7027" w:type="dxa"/>
            <w:shd w:val="clear" w:color="auto" w:fill="D9D9D9" w:themeFill="background1" w:themeFillShade="D9"/>
          </w:tcPr>
          <w:p w:rsidR="00C55CF6" w:rsidRPr="00A63D40" w:rsidRDefault="00A63D40" w:rsidP="00386BFA">
            <w:pPr>
              <w:pStyle w:val="NormalWeb"/>
              <w:spacing w:line="253" w:lineRule="atLeast"/>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Element</w:t>
            </w:r>
          </w:p>
        </w:tc>
        <w:tc>
          <w:tcPr>
            <w:tcW w:w="2503" w:type="dxa"/>
            <w:shd w:val="clear" w:color="auto" w:fill="D9D9D9" w:themeFill="background1" w:themeFillShade="D9"/>
          </w:tcPr>
          <w:p w:rsidR="00C55CF6" w:rsidRPr="00A63D40" w:rsidRDefault="00A63D40" w:rsidP="00386BFA">
            <w:pPr>
              <w:pStyle w:val="NormalWeb"/>
              <w:spacing w:line="253" w:lineRule="atLeast"/>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Maximum points</w:t>
            </w:r>
          </w:p>
        </w:tc>
      </w:tr>
      <w:tr w:rsidR="00C55CF6" w:rsidRPr="00734FE1" w:rsidTr="00BB067B">
        <w:trPr>
          <w:trHeight w:val="60"/>
        </w:trPr>
        <w:tc>
          <w:tcPr>
            <w:tcW w:w="7027" w:type="dxa"/>
          </w:tcPr>
          <w:p w:rsidR="00BB067B" w:rsidRPr="00734FE1" w:rsidRDefault="00A63D40" w:rsidP="00386BFA">
            <w:pPr>
              <w:pStyle w:val="NormalWeb"/>
              <w:numPr>
                <w:ilvl w:val="0"/>
                <w:numId w:val="20"/>
              </w:numPr>
              <w:spacing w:line="253" w:lineRule="atLeast"/>
              <w:jc w:val="both"/>
              <w:rPr>
                <w:rFonts w:asciiTheme="minorHAnsi" w:hAnsiTheme="minorHAnsi" w:cstheme="minorHAnsi"/>
                <w:b/>
                <w:color w:val="000000"/>
                <w:sz w:val="22"/>
                <w:szCs w:val="22"/>
                <w:lang w:val="mk-MK"/>
              </w:rPr>
            </w:pPr>
            <w:r>
              <w:rPr>
                <w:rFonts w:asciiTheme="minorHAnsi" w:hAnsiTheme="minorHAnsi" w:cstheme="minorHAnsi"/>
                <w:b/>
                <w:color w:val="000000"/>
                <w:sz w:val="22"/>
                <w:szCs w:val="22"/>
                <w:lang w:val="en-GB"/>
              </w:rPr>
              <w:t xml:space="preserve">Quality </w:t>
            </w:r>
          </w:p>
          <w:p w:rsidR="001E6D3B" w:rsidRPr="00A63D40" w:rsidRDefault="00A63D40" w:rsidP="00A63D40">
            <w:pPr>
              <w:pStyle w:val="NormalWeb"/>
              <w:numPr>
                <w:ilvl w:val="0"/>
                <w:numId w:val="19"/>
              </w:numPr>
              <w:spacing w:line="253" w:lineRule="atLeast"/>
              <w:jc w:val="both"/>
              <w:rPr>
                <w:rFonts w:cstheme="minorHAnsi"/>
                <w:color w:val="000000"/>
                <w:lang w:val="en-GB"/>
              </w:rPr>
            </w:pPr>
            <w:r w:rsidRPr="00A63D40">
              <w:rPr>
                <w:rFonts w:cstheme="minorHAnsi"/>
                <w:color w:val="000000"/>
                <w:lang w:val="en-GB"/>
              </w:rPr>
              <w:t>Previous experience with project evaluation presented through the submitted CVs</w:t>
            </w:r>
          </w:p>
        </w:tc>
        <w:tc>
          <w:tcPr>
            <w:tcW w:w="2503" w:type="dxa"/>
          </w:tcPr>
          <w:p w:rsidR="00C55CF6" w:rsidRPr="00734FE1" w:rsidRDefault="003E34F3" w:rsidP="00386BFA">
            <w:pPr>
              <w:pStyle w:val="NormalWeb"/>
              <w:spacing w:line="253" w:lineRule="atLeast"/>
              <w:jc w:val="both"/>
              <w:rPr>
                <w:rFonts w:asciiTheme="minorHAnsi" w:hAnsiTheme="minorHAnsi" w:cstheme="minorHAnsi"/>
                <w:b/>
                <w:color w:val="000000"/>
                <w:sz w:val="22"/>
                <w:szCs w:val="22"/>
                <w:lang w:val="mk-MK"/>
              </w:rPr>
            </w:pPr>
            <w:r w:rsidRPr="00734FE1">
              <w:rPr>
                <w:rFonts w:asciiTheme="minorHAnsi" w:hAnsiTheme="minorHAnsi" w:cstheme="minorHAnsi"/>
                <w:b/>
                <w:color w:val="000000"/>
                <w:sz w:val="22"/>
                <w:szCs w:val="22"/>
                <w:lang w:val="mk-MK"/>
              </w:rPr>
              <w:t>8</w:t>
            </w:r>
            <w:r w:rsidR="00C55CF6" w:rsidRPr="00734FE1">
              <w:rPr>
                <w:rFonts w:asciiTheme="minorHAnsi" w:hAnsiTheme="minorHAnsi" w:cstheme="minorHAnsi"/>
                <w:b/>
                <w:color w:val="000000"/>
                <w:sz w:val="22"/>
                <w:szCs w:val="22"/>
                <w:lang w:val="mk-MK"/>
              </w:rPr>
              <w:t>0</w:t>
            </w:r>
          </w:p>
        </w:tc>
      </w:tr>
      <w:tr w:rsidR="00C55CF6" w:rsidRPr="00734FE1" w:rsidTr="00BB067B">
        <w:trPr>
          <w:trHeight w:val="60"/>
        </w:trPr>
        <w:tc>
          <w:tcPr>
            <w:tcW w:w="7027" w:type="dxa"/>
          </w:tcPr>
          <w:p w:rsidR="00C55CF6" w:rsidRPr="00734FE1" w:rsidRDefault="00A63D40" w:rsidP="00386BFA">
            <w:pPr>
              <w:pStyle w:val="NormalWeb"/>
              <w:numPr>
                <w:ilvl w:val="0"/>
                <w:numId w:val="20"/>
              </w:numPr>
              <w:spacing w:line="253" w:lineRule="atLeast"/>
              <w:jc w:val="both"/>
              <w:rPr>
                <w:rFonts w:asciiTheme="minorHAnsi" w:hAnsiTheme="minorHAnsi" w:cstheme="minorHAnsi"/>
                <w:b/>
                <w:color w:val="000000"/>
                <w:sz w:val="22"/>
                <w:szCs w:val="22"/>
                <w:lang w:val="mk-MK"/>
              </w:rPr>
            </w:pPr>
            <w:r>
              <w:rPr>
                <w:rFonts w:asciiTheme="minorHAnsi" w:hAnsiTheme="minorHAnsi" w:cstheme="minorHAnsi"/>
                <w:b/>
                <w:color w:val="000000"/>
                <w:sz w:val="22"/>
                <w:szCs w:val="22"/>
                <w:lang w:val="en-GB"/>
              </w:rPr>
              <w:t>Price</w:t>
            </w:r>
          </w:p>
        </w:tc>
        <w:tc>
          <w:tcPr>
            <w:tcW w:w="2503" w:type="dxa"/>
          </w:tcPr>
          <w:p w:rsidR="00C55CF6" w:rsidRPr="00734FE1" w:rsidRDefault="003E34F3" w:rsidP="00386BFA">
            <w:pPr>
              <w:pStyle w:val="NormalWeb"/>
              <w:spacing w:line="253" w:lineRule="atLeast"/>
              <w:jc w:val="both"/>
              <w:rPr>
                <w:rFonts w:asciiTheme="minorHAnsi" w:hAnsiTheme="minorHAnsi" w:cstheme="minorHAnsi"/>
                <w:b/>
                <w:color w:val="000000"/>
                <w:sz w:val="22"/>
                <w:szCs w:val="22"/>
                <w:lang w:val="mk-MK"/>
              </w:rPr>
            </w:pPr>
            <w:r w:rsidRPr="00734FE1">
              <w:rPr>
                <w:rFonts w:asciiTheme="minorHAnsi" w:hAnsiTheme="minorHAnsi" w:cstheme="minorHAnsi"/>
                <w:b/>
                <w:color w:val="000000"/>
                <w:sz w:val="22"/>
                <w:szCs w:val="22"/>
                <w:lang w:val="mk-MK"/>
              </w:rPr>
              <w:t>2</w:t>
            </w:r>
            <w:r w:rsidR="00C55CF6" w:rsidRPr="00734FE1">
              <w:rPr>
                <w:rFonts w:asciiTheme="minorHAnsi" w:hAnsiTheme="minorHAnsi" w:cstheme="minorHAnsi"/>
                <w:b/>
                <w:color w:val="000000"/>
                <w:sz w:val="22"/>
                <w:szCs w:val="22"/>
                <w:lang w:val="mk-MK"/>
              </w:rPr>
              <w:t>0</w:t>
            </w:r>
          </w:p>
        </w:tc>
      </w:tr>
      <w:tr w:rsidR="00C55CF6" w:rsidRPr="00734FE1" w:rsidTr="00BB067B">
        <w:tc>
          <w:tcPr>
            <w:tcW w:w="7027" w:type="dxa"/>
          </w:tcPr>
          <w:p w:rsidR="00C55CF6" w:rsidRPr="00734FE1" w:rsidRDefault="00A63D40" w:rsidP="00386BFA">
            <w:pPr>
              <w:pStyle w:val="NormalWeb"/>
              <w:spacing w:line="253" w:lineRule="atLeast"/>
              <w:jc w:val="both"/>
              <w:rPr>
                <w:rFonts w:asciiTheme="minorHAnsi" w:hAnsiTheme="minorHAnsi" w:cstheme="minorHAnsi"/>
                <w:b/>
                <w:color w:val="000000"/>
                <w:sz w:val="22"/>
                <w:szCs w:val="22"/>
                <w:lang w:val="mk-MK"/>
              </w:rPr>
            </w:pPr>
            <w:r>
              <w:rPr>
                <w:rFonts w:asciiTheme="minorHAnsi" w:hAnsiTheme="minorHAnsi" w:cstheme="minorHAnsi"/>
                <w:b/>
                <w:color w:val="000000"/>
                <w:sz w:val="22"/>
                <w:szCs w:val="22"/>
                <w:lang w:val="en-GB"/>
              </w:rPr>
              <w:t>Total</w:t>
            </w:r>
            <w:r w:rsidR="00C55CF6" w:rsidRPr="00734FE1">
              <w:rPr>
                <w:rFonts w:asciiTheme="minorHAnsi" w:hAnsiTheme="minorHAnsi" w:cstheme="minorHAnsi"/>
                <w:b/>
                <w:color w:val="000000"/>
                <w:sz w:val="22"/>
                <w:szCs w:val="22"/>
                <w:lang w:val="mk-MK"/>
              </w:rPr>
              <w:t xml:space="preserve"> (1+2)</w:t>
            </w:r>
          </w:p>
        </w:tc>
        <w:tc>
          <w:tcPr>
            <w:tcW w:w="2503" w:type="dxa"/>
          </w:tcPr>
          <w:p w:rsidR="00C55CF6" w:rsidRPr="00734FE1" w:rsidRDefault="00C55CF6" w:rsidP="00386BFA">
            <w:pPr>
              <w:pStyle w:val="NormalWeb"/>
              <w:spacing w:line="253" w:lineRule="atLeast"/>
              <w:jc w:val="both"/>
              <w:rPr>
                <w:rFonts w:asciiTheme="minorHAnsi" w:hAnsiTheme="minorHAnsi" w:cstheme="minorHAnsi"/>
                <w:b/>
                <w:color w:val="000000"/>
                <w:sz w:val="22"/>
                <w:szCs w:val="22"/>
                <w:lang w:val="mk-MK"/>
              </w:rPr>
            </w:pPr>
            <w:r w:rsidRPr="00734FE1">
              <w:rPr>
                <w:rFonts w:asciiTheme="minorHAnsi" w:hAnsiTheme="minorHAnsi" w:cstheme="minorHAnsi"/>
                <w:b/>
                <w:color w:val="000000"/>
                <w:sz w:val="22"/>
                <w:szCs w:val="22"/>
                <w:lang w:val="mk-MK"/>
              </w:rPr>
              <w:t>100</w:t>
            </w:r>
          </w:p>
        </w:tc>
      </w:tr>
    </w:tbl>
    <w:p w:rsidR="002018FB" w:rsidRPr="00734FE1" w:rsidRDefault="002018FB" w:rsidP="002018FB">
      <w:pPr>
        <w:pStyle w:val="BodyTextIndent"/>
        <w:shd w:val="clear" w:color="auto" w:fill="FFFFFF"/>
        <w:tabs>
          <w:tab w:val="left" w:pos="284"/>
        </w:tabs>
        <w:ind w:left="0" w:right="14"/>
        <w:jc w:val="both"/>
        <w:rPr>
          <w:rFonts w:cstheme="minorHAnsi"/>
          <w:noProof/>
          <w:lang w:val="mk-MK"/>
        </w:rPr>
      </w:pPr>
    </w:p>
    <w:p w:rsidR="00A63D40" w:rsidRPr="00A63D40" w:rsidRDefault="00A63D40" w:rsidP="00A63D40">
      <w:pPr>
        <w:autoSpaceDE w:val="0"/>
        <w:autoSpaceDN w:val="0"/>
        <w:adjustRightInd w:val="0"/>
        <w:spacing w:after="0" w:line="240" w:lineRule="auto"/>
        <w:jc w:val="both"/>
        <w:rPr>
          <w:rFonts w:cstheme="minorHAnsi"/>
          <w:noProof/>
          <w:lang w:val="en-GB"/>
        </w:rPr>
      </w:pPr>
      <w:r w:rsidRPr="00A63D40">
        <w:rPr>
          <w:rFonts w:cstheme="minorHAnsi"/>
          <w:noProof/>
          <w:lang w:val="en-GB"/>
        </w:rPr>
        <w:t>For the quality criterion, the following aspects will be evaluated:</w:t>
      </w:r>
    </w:p>
    <w:p w:rsidR="00A63D40" w:rsidRPr="00A63D40" w:rsidRDefault="00A63D40" w:rsidP="00A63D40">
      <w:pPr>
        <w:autoSpaceDE w:val="0"/>
        <w:autoSpaceDN w:val="0"/>
        <w:adjustRightInd w:val="0"/>
        <w:spacing w:after="0" w:line="240" w:lineRule="auto"/>
        <w:jc w:val="both"/>
        <w:rPr>
          <w:rFonts w:cstheme="minorHAnsi"/>
          <w:noProof/>
          <w:lang w:val="en-GB"/>
        </w:rPr>
      </w:pPr>
      <w:r w:rsidRPr="00A63D40">
        <w:rPr>
          <w:rFonts w:cstheme="minorHAnsi"/>
          <w:noProof/>
          <w:lang w:val="en-GB"/>
        </w:rPr>
        <w:t>- Previous experience with project evaluation presented through the submitted CVs</w:t>
      </w:r>
    </w:p>
    <w:p w:rsidR="00A63D40" w:rsidRPr="00A63D40" w:rsidRDefault="00A63D40" w:rsidP="00A63D40">
      <w:pPr>
        <w:autoSpaceDE w:val="0"/>
        <w:autoSpaceDN w:val="0"/>
        <w:adjustRightInd w:val="0"/>
        <w:spacing w:after="0" w:line="240" w:lineRule="auto"/>
        <w:jc w:val="both"/>
        <w:rPr>
          <w:rFonts w:cstheme="minorHAnsi"/>
          <w:noProof/>
          <w:lang w:val="en-GB"/>
        </w:rPr>
      </w:pPr>
    </w:p>
    <w:p w:rsidR="00A63D40" w:rsidRPr="00A63D40" w:rsidRDefault="00A63D40" w:rsidP="00A63D40">
      <w:pPr>
        <w:autoSpaceDE w:val="0"/>
        <w:autoSpaceDN w:val="0"/>
        <w:adjustRightInd w:val="0"/>
        <w:spacing w:after="0" w:line="240" w:lineRule="auto"/>
        <w:jc w:val="both"/>
        <w:rPr>
          <w:rFonts w:cstheme="minorHAnsi"/>
          <w:noProof/>
          <w:lang w:val="en-GB"/>
        </w:rPr>
      </w:pPr>
      <w:r w:rsidRPr="00A63D40">
        <w:rPr>
          <w:rFonts w:cstheme="minorHAnsi"/>
          <w:noProof/>
          <w:lang w:val="en-GB"/>
        </w:rPr>
        <w:t>The tenderer who will receive the most points in total (quality + price) will be selected.</w:t>
      </w:r>
    </w:p>
    <w:p w:rsidR="00A63D40" w:rsidRPr="00A63D40" w:rsidRDefault="00A63D40" w:rsidP="00A63D40">
      <w:pPr>
        <w:autoSpaceDE w:val="0"/>
        <w:autoSpaceDN w:val="0"/>
        <w:adjustRightInd w:val="0"/>
        <w:spacing w:after="0" w:line="240" w:lineRule="auto"/>
        <w:jc w:val="both"/>
        <w:rPr>
          <w:rFonts w:cstheme="minorHAnsi"/>
          <w:noProof/>
          <w:lang w:val="en-GB"/>
        </w:rPr>
      </w:pPr>
      <w:r w:rsidRPr="00A63D40">
        <w:rPr>
          <w:rFonts w:cstheme="minorHAnsi"/>
          <w:noProof/>
          <w:lang w:val="en-GB"/>
        </w:rPr>
        <w:t>The Metamorphosis Foundation reserves the right not to select a tenderer if the Commission decides that none of the tenders meets the criteria set out in the Task Description above (2).</w:t>
      </w:r>
    </w:p>
    <w:p w:rsidR="003C1F0D" w:rsidRPr="00734FE1" w:rsidRDefault="003C1F0D" w:rsidP="00386BFA">
      <w:pPr>
        <w:autoSpaceDE w:val="0"/>
        <w:autoSpaceDN w:val="0"/>
        <w:adjustRightInd w:val="0"/>
        <w:spacing w:after="0" w:line="240" w:lineRule="auto"/>
        <w:jc w:val="both"/>
        <w:rPr>
          <w:rFonts w:cstheme="minorHAnsi"/>
          <w:b/>
          <w:bCs/>
          <w:color w:val="000000"/>
          <w:lang w:val="mk-MK"/>
        </w:rPr>
      </w:pPr>
    </w:p>
    <w:p w:rsidR="00AC4366" w:rsidRPr="007F38EA" w:rsidRDefault="007F38EA" w:rsidP="007F38EA">
      <w:pPr>
        <w:pStyle w:val="Default"/>
        <w:numPr>
          <w:ilvl w:val="0"/>
          <w:numId w:val="24"/>
        </w:numPr>
        <w:rPr>
          <w:rFonts w:cstheme="minorHAnsi"/>
          <w:b/>
          <w:bCs/>
          <w:lang w:val="en-GB"/>
        </w:rPr>
      </w:pPr>
      <w:r w:rsidRPr="007F38EA">
        <w:rPr>
          <w:rFonts w:cstheme="minorHAnsi"/>
          <w:b/>
          <w:bCs/>
          <w:lang w:val="en-GB"/>
        </w:rPr>
        <w:t>Notification of the tenderers</w:t>
      </w:r>
    </w:p>
    <w:p w:rsidR="00AC4366" w:rsidRPr="00734FE1" w:rsidRDefault="00AC4366" w:rsidP="00AC4366">
      <w:pPr>
        <w:pStyle w:val="Default"/>
        <w:ind w:left="284"/>
        <w:rPr>
          <w:rFonts w:asciiTheme="minorHAnsi" w:hAnsiTheme="minorHAnsi" w:cstheme="minorHAnsi"/>
          <w:sz w:val="22"/>
          <w:szCs w:val="22"/>
        </w:rPr>
      </w:pPr>
    </w:p>
    <w:p w:rsidR="007F38EA" w:rsidRPr="007F38EA" w:rsidRDefault="007F38EA" w:rsidP="007F38EA">
      <w:pPr>
        <w:autoSpaceDE w:val="0"/>
        <w:autoSpaceDN w:val="0"/>
        <w:adjustRightInd w:val="0"/>
        <w:spacing w:after="0" w:line="240" w:lineRule="auto"/>
        <w:jc w:val="both"/>
        <w:rPr>
          <w:rFonts w:cstheme="minorHAnsi"/>
          <w:lang w:val="en-GB"/>
        </w:rPr>
      </w:pPr>
      <w:r w:rsidRPr="007F38EA">
        <w:rPr>
          <w:rFonts w:cstheme="minorHAnsi"/>
          <w:lang w:val="en-GB"/>
        </w:rPr>
        <w:t>After the evaluation of the submitted tenders, the Commission will submit to all participants in the tender a notification with information about the selected most favorable tenderer, as well as the reasons for non-selection of other tenders.  The notice will be sent to the email address provided in the tender.</w:t>
      </w:r>
    </w:p>
    <w:p w:rsidR="003C1F0D" w:rsidRPr="00734FE1" w:rsidRDefault="003C1F0D" w:rsidP="00AC4366">
      <w:pPr>
        <w:autoSpaceDE w:val="0"/>
        <w:autoSpaceDN w:val="0"/>
        <w:adjustRightInd w:val="0"/>
        <w:spacing w:after="0" w:line="240" w:lineRule="auto"/>
        <w:jc w:val="both"/>
        <w:rPr>
          <w:rFonts w:cstheme="minorHAnsi"/>
          <w:b/>
          <w:bCs/>
          <w:color w:val="000000"/>
          <w:lang w:val="mk-MK"/>
        </w:rPr>
      </w:pPr>
    </w:p>
    <w:p w:rsidR="00AC68F4" w:rsidRPr="00734FE1" w:rsidRDefault="00AC68F4" w:rsidP="00386BFA">
      <w:pPr>
        <w:autoSpaceDE w:val="0"/>
        <w:autoSpaceDN w:val="0"/>
        <w:adjustRightInd w:val="0"/>
        <w:spacing w:after="0" w:line="240" w:lineRule="auto"/>
        <w:jc w:val="both"/>
        <w:rPr>
          <w:rFonts w:cstheme="minorHAnsi"/>
          <w:b/>
          <w:bCs/>
          <w:color w:val="000000"/>
          <w:lang w:val="mk-MK"/>
        </w:rPr>
      </w:pPr>
    </w:p>
    <w:p w:rsidR="00AC68F4" w:rsidRPr="00734FE1" w:rsidRDefault="00AC68F4" w:rsidP="00386BFA">
      <w:pPr>
        <w:autoSpaceDE w:val="0"/>
        <w:autoSpaceDN w:val="0"/>
        <w:adjustRightInd w:val="0"/>
        <w:spacing w:after="0" w:line="240" w:lineRule="auto"/>
        <w:jc w:val="both"/>
        <w:rPr>
          <w:rFonts w:cstheme="minorHAnsi"/>
          <w:b/>
          <w:bCs/>
          <w:color w:val="000000"/>
          <w:lang w:val="mk-MK"/>
        </w:rPr>
      </w:pPr>
    </w:p>
    <w:p w:rsidR="00734FE1" w:rsidRPr="00734FE1" w:rsidRDefault="00734FE1" w:rsidP="00386BFA">
      <w:pPr>
        <w:autoSpaceDE w:val="0"/>
        <w:autoSpaceDN w:val="0"/>
        <w:adjustRightInd w:val="0"/>
        <w:spacing w:after="0" w:line="240" w:lineRule="auto"/>
        <w:jc w:val="both"/>
        <w:rPr>
          <w:rFonts w:cstheme="minorHAnsi"/>
          <w:b/>
          <w:bCs/>
          <w:color w:val="000000"/>
          <w:lang w:val="mk-MK"/>
        </w:rPr>
      </w:pPr>
    </w:p>
    <w:p w:rsidR="00734FE1" w:rsidRPr="00734FE1" w:rsidRDefault="00734FE1" w:rsidP="00386BFA">
      <w:pPr>
        <w:autoSpaceDE w:val="0"/>
        <w:autoSpaceDN w:val="0"/>
        <w:adjustRightInd w:val="0"/>
        <w:spacing w:after="0" w:line="240" w:lineRule="auto"/>
        <w:jc w:val="both"/>
        <w:rPr>
          <w:rFonts w:cstheme="minorHAnsi"/>
          <w:b/>
          <w:bCs/>
          <w:color w:val="000000"/>
          <w:lang w:val="mk-MK"/>
        </w:rPr>
      </w:pPr>
    </w:p>
    <w:p w:rsidR="00734FE1" w:rsidRPr="00734FE1" w:rsidRDefault="00734FE1" w:rsidP="00386BFA">
      <w:pPr>
        <w:autoSpaceDE w:val="0"/>
        <w:autoSpaceDN w:val="0"/>
        <w:adjustRightInd w:val="0"/>
        <w:spacing w:after="0" w:line="240" w:lineRule="auto"/>
        <w:jc w:val="both"/>
        <w:rPr>
          <w:rFonts w:cstheme="minorHAnsi"/>
          <w:b/>
          <w:bCs/>
          <w:color w:val="000000"/>
          <w:lang w:val="mk-MK"/>
        </w:rPr>
      </w:pPr>
    </w:p>
    <w:p w:rsidR="00734FE1" w:rsidRPr="00734FE1" w:rsidRDefault="00734FE1" w:rsidP="00386BFA">
      <w:pPr>
        <w:autoSpaceDE w:val="0"/>
        <w:autoSpaceDN w:val="0"/>
        <w:adjustRightInd w:val="0"/>
        <w:spacing w:after="0" w:line="240" w:lineRule="auto"/>
        <w:jc w:val="both"/>
        <w:rPr>
          <w:rFonts w:cstheme="minorHAnsi"/>
          <w:b/>
          <w:bCs/>
          <w:color w:val="000000"/>
          <w:lang w:val="mk-MK"/>
        </w:rPr>
      </w:pPr>
    </w:p>
    <w:p w:rsidR="00734FE1" w:rsidRPr="00734FE1" w:rsidRDefault="00734FE1" w:rsidP="00386BFA">
      <w:pPr>
        <w:autoSpaceDE w:val="0"/>
        <w:autoSpaceDN w:val="0"/>
        <w:adjustRightInd w:val="0"/>
        <w:spacing w:after="0" w:line="240" w:lineRule="auto"/>
        <w:jc w:val="both"/>
        <w:rPr>
          <w:rFonts w:cstheme="minorHAnsi"/>
          <w:b/>
          <w:bCs/>
          <w:color w:val="000000"/>
          <w:lang w:val="mk-MK"/>
        </w:rPr>
      </w:pPr>
    </w:p>
    <w:p w:rsidR="00734FE1" w:rsidRPr="00734FE1" w:rsidRDefault="00734FE1" w:rsidP="00386BFA">
      <w:pPr>
        <w:autoSpaceDE w:val="0"/>
        <w:autoSpaceDN w:val="0"/>
        <w:adjustRightInd w:val="0"/>
        <w:spacing w:after="0" w:line="240" w:lineRule="auto"/>
        <w:jc w:val="both"/>
        <w:rPr>
          <w:rFonts w:cstheme="minorHAnsi"/>
          <w:b/>
          <w:bCs/>
          <w:color w:val="000000"/>
          <w:lang w:val="mk-MK"/>
        </w:rPr>
      </w:pPr>
    </w:p>
    <w:p w:rsidR="00734FE1" w:rsidRPr="00734FE1" w:rsidRDefault="00734FE1" w:rsidP="00386BFA">
      <w:pPr>
        <w:autoSpaceDE w:val="0"/>
        <w:autoSpaceDN w:val="0"/>
        <w:adjustRightInd w:val="0"/>
        <w:spacing w:after="0" w:line="240" w:lineRule="auto"/>
        <w:jc w:val="both"/>
        <w:rPr>
          <w:rFonts w:cstheme="minorHAnsi"/>
          <w:b/>
          <w:bCs/>
          <w:color w:val="000000"/>
          <w:lang w:val="mk-MK"/>
        </w:rPr>
      </w:pPr>
    </w:p>
    <w:p w:rsidR="00734FE1" w:rsidRPr="00734FE1" w:rsidRDefault="00734FE1" w:rsidP="00386BFA">
      <w:pPr>
        <w:autoSpaceDE w:val="0"/>
        <w:autoSpaceDN w:val="0"/>
        <w:adjustRightInd w:val="0"/>
        <w:spacing w:after="0" w:line="240" w:lineRule="auto"/>
        <w:jc w:val="both"/>
        <w:rPr>
          <w:rFonts w:cstheme="minorHAnsi"/>
          <w:b/>
          <w:bCs/>
          <w:color w:val="000000"/>
          <w:lang w:val="mk-MK"/>
        </w:rPr>
      </w:pPr>
    </w:p>
    <w:p w:rsidR="00734FE1" w:rsidRPr="00734FE1" w:rsidRDefault="00734FE1" w:rsidP="00386BFA">
      <w:pPr>
        <w:autoSpaceDE w:val="0"/>
        <w:autoSpaceDN w:val="0"/>
        <w:adjustRightInd w:val="0"/>
        <w:spacing w:after="0" w:line="240" w:lineRule="auto"/>
        <w:jc w:val="both"/>
        <w:rPr>
          <w:rFonts w:cstheme="minorHAnsi"/>
          <w:b/>
          <w:bCs/>
          <w:color w:val="000000"/>
          <w:lang w:val="mk-MK"/>
        </w:rPr>
      </w:pPr>
    </w:p>
    <w:p w:rsidR="00734FE1" w:rsidRPr="00734FE1" w:rsidRDefault="00734FE1" w:rsidP="00386BFA">
      <w:pPr>
        <w:autoSpaceDE w:val="0"/>
        <w:autoSpaceDN w:val="0"/>
        <w:adjustRightInd w:val="0"/>
        <w:spacing w:after="0" w:line="240" w:lineRule="auto"/>
        <w:jc w:val="both"/>
        <w:rPr>
          <w:rFonts w:cstheme="minorHAnsi"/>
          <w:b/>
          <w:bCs/>
          <w:color w:val="000000"/>
          <w:lang w:val="mk-MK"/>
        </w:rPr>
      </w:pPr>
    </w:p>
    <w:p w:rsidR="00734FE1" w:rsidRPr="00734FE1" w:rsidRDefault="00734FE1" w:rsidP="00386BFA">
      <w:pPr>
        <w:autoSpaceDE w:val="0"/>
        <w:autoSpaceDN w:val="0"/>
        <w:adjustRightInd w:val="0"/>
        <w:spacing w:after="0" w:line="240" w:lineRule="auto"/>
        <w:jc w:val="both"/>
        <w:rPr>
          <w:rFonts w:cstheme="minorHAnsi"/>
          <w:b/>
          <w:bCs/>
          <w:color w:val="000000"/>
          <w:lang w:val="mk-MK"/>
        </w:rPr>
      </w:pPr>
    </w:p>
    <w:p w:rsidR="00734FE1" w:rsidRDefault="00734FE1" w:rsidP="00386BFA">
      <w:pPr>
        <w:autoSpaceDE w:val="0"/>
        <w:autoSpaceDN w:val="0"/>
        <w:adjustRightInd w:val="0"/>
        <w:spacing w:after="0" w:line="240" w:lineRule="auto"/>
        <w:jc w:val="both"/>
        <w:rPr>
          <w:rFonts w:cstheme="minorHAnsi"/>
          <w:b/>
          <w:bCs/>
          <w:color w:val="000000"/>
          <w:lang w:val="mk-MK"/>
        </w:rPr>
      </w:pPr>
    </w:p>
    <w:p w:rsidR="00194313" w:rsidRDefault="00194313" w:rsidP="00386BFA">
      <w:pPr>
        <w:autoSpaceDE w:val="0"/>
        <w:autoSpaceDN w:val="0"/>
        <w:adjustRightInd w:val="0"/>
        <w:spacing w:after="0" w:line="240" w:lineRule="auto"/>
        <w:jc w:val="both"/>
        <w:rPr>
          <w:rFonts w:cstheme="minorHAnsi"/>
          <w:b/>
          <w:bCs/>
          <w:color w:val="000000"/>
          <w:lang w:val="mk-MK"/>
        </w:rPr>
      </w:pPr>
    </w:p>
    <w:p w:rsidR="00194313" w:rsidRDefault="00194313" w:rsidP="00386BFA">
      <w:pPr>
        <w:autoSpaceDE w:val="0"/>
        <w:autoSpaceDN w:val="0"/>
        <w:adjustRightInd w:val="0"/>
        <w:spacing w:after="0" w:line="240" w:lineRule="auto"/>
        <w:jc w:val="both"/>
        <w:rPr>
          <w:rFonts w:cstheme="minorHAnsi"/>
          <w:b/>
          <w:bCs/>
          <w:color w:val="000000"/>
          <w:lang w:val="mk-MK"/>
        </w:rPr>
      </w:pPr>
    </w:p>
    <w:p w:rsidR="00194313" w:rsidRPr="00734FE1" w:rsidRDefault="00194313" w:rsidP="00386BFA">
      <w:pPr>
        <w:autoSpaceDE w:val="0"/>
        <w:autoSpaceDN w:val="0"/>
        <w:adjustRightInd w:val="0"/>
        <w:spacing w:after="0" w:line="240" w:lineRule="auto"/>
        <w:jc w:val="both"/>
        <w:rPr>
          <w:rFonts w:cstheme="minorHAnsi"/>
          <w:b/>
          <w:bCs/>
          <w:color w:val="000000"/>
          <w:lang w:val="mk-MK"/>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p>
    <w:p w:rsidR="004C2997" w:rsidRDefault="004C2997" w:rsidP="004C2997">
      <w:pPr>
        <w:autoSpaceDE w:val="0"/>
        <w:autoSpaceDN w:val="0"/>
        <w:adjustRightInd w:val="0"/>
        <w:spacing w:after="0" w:line="240" w:lineRule="auto"/>
        <w:jc w:val="both"/>
        <w:rPr>
          <w:rFonts w:cstheme="minorHAnsi"/>
          <w:b/>
          <w:bCs/>
          <w:color w:val="000000"/>
          <w:lang w:val="en-GB"/>
        </w:rPr>
      </w:pPr>
      <w:r w:rsidRPr="00B00F51">
        <w:rPr>
          <w:rFonts w:cstheme="minorHAnsi"/>
          <w:b/>
          <w:bCs/>
          <w:color w:val="000000"/>
          <w:lang w:val="en-GB"/>
        </w:rPr>
        <w:t>ANNEX 1 – FINANCIAL OFFER</w:t>
      </w:r>
    </w:p>
    <w:p w:rsidR="004C2997" w:rsidRPr="00B00F51" w:rsidRDefault="004C2997" w:rsidP="004C2997">
      <w:pPr>
        <w:autoSpaceDE w:val="0"/>
        <w:autoSpaceDN w:val="0"/>
        <w:adjustRightInd w:val="0"/>
        <w:spacing w:after="0" w:line="240" w:lineRule="auto"/>
        <w:jc w:val="both"/>
        <w:rPr>
          <w:rFonts w:cstheme="minorHAnsi"/>
          <w:b/>
          <w:bCs/>
          <w:color w:val="000000"/>
          <w:lang w:val="en-GB"/>
        </w:rPr>
      </w:pPr>
    </w:p>
    <w:p w:rsidR="004C2997" w:rsidRPr="00734FE1" w:rsidRDefault="004C2997" w:rsidP="004C2997">
      <w:pPr>
        <w:autoSpaceDE w:val="0"/>
        <w:autoSpaceDN w:val="0"/>
        <w:adjustRightInd w:val="0"/>
        <w:spacing w:after="0" w:line="240" w:lineRule="auto"/>
        <w:jc w:val="both"/>
        <w:rPr>
          <w:rFonts w:cstheme="minorHAnsi"/>
          <w:color w:val="000000"/>
        </w:rPr>
      </w:pPr>
    </w:p>
    <w:p w:rsidR="004C2997" w:rsidRPr="00B00F51" w:rsidRDefault="004C2997" w:rsidP="004C2997">
      <w:pPr>
        <w:autoSpaceDE w:val="0"/>
        <w:autoSpaceDN w:val="0"/>
        <w:adjustRightInd w:val="0"/>
        <w:spacing w:after="0" w:line="240" w:lineRule="auto"/>
        <w:jc w:val="both"/>
        <w:rPr>
          <w:rFonts w:cstheme="minorHAnsi"/>
          <w:b/>
          <w:bCs/>
          <w:color w:val="000000"/>
          <w:lang w:val="en-GB"/>
        </w:rPr>
      </w:pPr>
      <w:r w:rsidRPr="00734FE1">
        <w:rPr>
          <w:rFonts w:cstheme="minorHAnsi"/>
          <w:b/>
          <w:bCs/>
          <w:color w:val="000000"/>
        </w:rPr>
        <w:t xml:space="preserve">I. </w:t>
      </w:r>
      <w:r w:rsidRPr="00B00F51">
        <w:rPr>
          <w:rFonts w:cstheme="minorHAnsi"/>
          <w:b/>
          <w:bCs/>
          <w:color w:val="000000"/>
          <w:lang w:val="en-GB"/>
        </w:rPr>
        <w:t xml:space="preserve">GENERAL INGORMATION </w:t>
      </w:r>
    </w:p>
    <w:p w:rsidR="004C2997" w:rsidRPr="00734FE1" w:rsidRDefault="004C2997" w:rsidP="004C2997">
      <w:pPr>
        <w:autoSpaceDE w:val="0"/>
        <w:autoSpaceDN w:val="0"/>
        <w:adjustRightInd w:val="0"/>
        <w:spacing w:after="0" w:line="240" w:lineRule="auto"/>
        <w:jc w:val="both"/>
        <w:rPr>
          <w:rFonts w:cstheme="minorHAnsi"/>
          <w:color w:val="000000"/>
        </w:rPr>
      </w:pPr>
    </w:p>
    <w:p w:rsidR="004C2997" w:rsidRPr="00734FE1" w:rsidRDefault="004C2997" w:rsidP="004C2997">
      <w:pPr>
        <w:autoSpaceDE w:val="0"/>
        <w:autoSpaceDN w:val="0"/>
        <w:adjustRightInd w:val="0"/>
        <w:spacing w:after="0" w:line="240" w:lineRule="auto"/>
        <w:jc w:val="both"/>
        <w:rPr>
          <w:rFonts w:cstheme="minorHAnsi"/>
          <w:color w:val="000000"/>
        </w:rPr>
      </w:pPr>
      <w:r w:rsidRPr="00734FE1">
        <w:rPr>
          <w:rFonts w:cstheme="minorHAnsi"/>
          <w:color w:val="000000"/>
        </w:rPr>
        <w:t xml:space="preserve">I.1 </w:t>
      </w:r>
      <w:r w:rsidRPr="00B00F51">
        <w:rPr>
          <w:rFonts w:cstheme="minorHAnsi"/>
          <w:color w:val="000000"/>
        </w:rPr>
        <w:t xml:space="preserve">Name of the </w:t>
      </w:r>
      <w:r>
        <w:rPr>
          <w:rFonts w:cstheme="minorHAnsi"/>
          <w:color w:val="000000"/>
        </w:rPr>
        <w:t>tenderer</w:t>
      </w:r>
      <w:r w:rsidRPr="00734FE1">
        <w:rPr>
          <w:rFonts w:cstheme="minorHAnsi"/>
          <w:color w:val="000000"/>
        </w:rPr>
        <w:t xml:space="preserve">: </w:t>
      </w:r>
    </w:p>
    <w:p w:rsidR="004C2997" w:rsidRPr="00734FE1" w:rsidRDefault="004C2997" w:rsidP="004C2997">
      <w:pPr>
        <w:autoSpaceDE w:val="0"/>
        <w:autoSpaceDN w:val="0"/>
        <w:adjustRightInd w:val="0"/>
        <w:spacing w:after="0" w:line="240" w:lineRule="auto"/>
        <w:jc w:val="both"/>
        <w:rPr>
          <w:rFonts w:cstheme="minorHAnsi"/>
          <w:color w:val="000000"/>
        </w:rPr>
      </w:pPr>
    </w:p>
    <w:p w:rsidR="004C2997" w:rsidRPr="00734FE1" w:rsidRDefault="004C2997" w:rsidP="004C2997">
      <w:pPr>
        <w:autoSpaceDE w:val="0"/>
        <w:autoSpaceDN w:val="0"/>
        <w:adjustRightInd w:val="0"/>
        <w:spacing w:after="0" w:line="240" w:lineRule="auto"/>
        <w:jc w:val="both"/>
        <w:rPr>
          <w:rFonts w:cstheme="minorHAnsi"/>
          <w:color w:val="000000"/>
        </w:rPr>
      </w:pPr>
      <w:r w:rsidRPr="00734FE1">
        <w:rPr>
          <w:rFonts w:cstheme="minorHAnsi"/>
          <w:color w:val="000000"/>
        </w:rPr>
        <w:t xml:space="preserve">I.2 </w:t>
      </w:r>
      <w:r>
        <w:rPr>
          <w:rFonts w:cstheme="minorHAnsi"/>
          <w:color w:val="000000"/>
          <w:lang w:val="en-GB"/>
        </w:rPr>
        <w:t>Address of the tenderer</w:t>
      </w:r>
      <w:r w:rsidRPr="00734FE1">
        <w:rPr>
          <w:rFonts w:cstheme="minorHAnsi"/>
          <w:color w:val="000000"/>
        </w:rPr>
        <w:t xml:space="preserve">: </w:t>
      </w:r>
    </w:p>
    <w:p w:rsidR="004C2997" w:rsidRPr="00734FE1" w:rsidRDefault="004C2997" w:rsidP="004C2997">
      <w:pPr>
        <w:autoSpaceDE w:val="0"/>
        <w:autoSpaceDN w:val="0"/>
        <w:adjustRightInd w:val="0"/>
        <w:spacing w:after="0" w:line="240" w:lineRule="auto"/>
        <w:jc w:val="both"/>
        <w:rPr>
          <w:rFonts w:cstheme="minorHAnsi"/>
          <w:color w:val="000000"/>
        </w:rPr>
      </w:pPr>
    </w:p>
    <w:p w:rsidR="004C2997" w:rsidRPr="00734FE1" w:rsidRDefault="004C2997" w:rsidP="004C2997">
      <w:pPr>
        <w:autoSpaceDE w:val="0"/>
        <w:autoSpaceDN w:val="0"/>
        <w:adjustRightInd w:val="0"/>
        <w:spacing w:after="0" w:line="240" w:lineRule="auto"/>
        <w:jc w:val="both"/>
        <w:rPr>
          <w:rFonts w:cstheme="minorHAnsi"/>
          <w:color w:val="000000"/>
        </w:rPr>
      </w:pPr>
      <w:r>
        <w:rPr>
          <w:rFonts w:cstheme="minorHAnsi"/>
          <w:color w:val="000000"/>
        </w:rPr>
        <w:t>I.3 Telephone</w:t>
      </w:r>
      <w:r w:rsidRPr="00734FE1">
        <w:rPr>
          <w:rFonts w:cstheme="minorHAnsi"/>
          <w:color w:val="000000"/>
        </w:rPr>
        <w:t xml:space="preserve">: </w:t>
      </w:r>
    </w:p>
    <w:p w:rsidR="004C2997" w:rsidRPr="00734FE1" w:rsidRDefault="004C2997" w:rsidP="004C2997">
      <w:pPr>
        <w:autoSpaceDE w:val="0"/>
        <w:autoSpaceDN w:val="0"/>
        <w:adjustRightInd w:val="0"/>
        <w:spacing w:after="0" w:line="240" w:lineRule="auto"/>
        <w:jc w:val="both"/>
        <w:rPr>
          <w:rFonts w:cstheme="minorHAnsi"/>
          <w:color w:val="000000"/>
        </w:rPr>
      </w:pPr>
    </w:p>
    <w:p w:rsidR="004C2997" w:rsidRPr="00734FE1" w:rsidRDefault="004C2997" w:rsidP="004C2997">
      <w:pPr>
        <w:autoSpaceDE w:val="0"/>
        <w:autoSpaceDN w:val="0"/>
        <w:adjustRightInd w:val="0"/>
        <w:spacing w:after="0" w:line="240" w:lineRule="auto"/>
        <w:jc w:val="both"/>
        <w:rPr>
          <w:rFonts w:cstheme="minorHAnsi"/>
          <w:color w:val="000000"/>
        </w:rPr>
      </w:pPr>
      <w:r>
        <w:rPr>
          <w:rFonts w:cstheme="minorHAnsi"/>
          <w:color w:val="000000"/>
        </w:rPr>
        <w:t>I.4 E-mail</w:t>
      </w:r>
      <w:r w:rsidRPr="00734FE1">
        <w:rPr>
          <w:rFonts w:cstheme="minorHAnsi"/>
          <w:color w:val="000000"/>
        </w:rPr>
        <w:t xml:space="preserve">: </w:t>
      </w:r>
    </w:p>
    <w:p w:rsidR="004C2997" w:rsidRPr="00734FE1" w:rsidRDefault="004C2997" w:rsidP="004C2997">
      <w:pPr>
        <w:autoSpaceDE w:val="0"/>
        <w:autoSpaceDN w:val="0"/>
        <w:adjustRightInd w:val="0"/>
        <w:spacing w:after="0" w:line="240" w:lineRule="auto"/>
        <w:jc w:val="both"/>
        <w:rPr>
          <w:rFonts w:cstheme="minorHAnsi"/>
          <w:color w:val="000000"/>
        </w:rPr>
      </w:pPr>
    </w:p>
    <w:p w:rsidR="004C2997" w:rsidRPr="00734FE1" w:rsidRDefault="004C2997" w:rsidP="004C2997">
      <w:pPr>
        <w:autoSpaceDE w:val="0"/>
        <w:autoSpaceDN w:val="0"/>
        <w:adjustRightInd w:val="0"/>
        <w:spacing w:after="0" w:line="240" w:lineRule="auto"/>
        <w:jc w:val="both"/>
        <w:rPr>
          <w:rFonts w:cstheme="minorHAnsi"/>
          <w:color w:val="000000"/>
        </w:rPr>
      </w:pPr>
      <w:r w:rsidRPr="00734FE1">
        <w:rPr>
          <w:rFonts w:cstheme="minorHAnsi"/>
          <w:color w:val="000000"/>
        </w:rPr>
        <w:t xml:space="preserve">I.5 </w:t>
      </w:r>
      <w:r w:rsidRPr="00B00F51">
        <w:rPr>
          <w:rFonts w:cstheme="minorHAnsi"/>
          <w:color w:val="000000"/>
        </w:rPr>
        <w:t>Name and surname of the authorized person</w:t>
      </w:r>
      <w:r w:rsidRPr="00734FE1">
        <w:rPr>
          <w:rFonts w:cstheme="minorHAnsi"/>
          <w:color w:val="000000"/>
        </w:rPr>
        <w:t xml:space="preserve">: </w:t>
      </w:r>
    </w:p>
    <w:p w:rsidR="004C2997" w:rsidRPr="00734FE1" w:rsidRDefault="004C2997" w:rsidP="004C2997">
      <w:pPr>
        <w:autoSpaceDE w:val="0"/>
        <w:autoSpaceDN w:val="0"/>
        <w:adjustRightInd w:val="0"/>
        <w:spacing w:after="0" w:line="240" w:lineRule="auto"/>
        <w:jc w:val="both"/>
        <w:rPr>
          <w:rFonts w:cstheme="minorHAnsi"/>
          <w:color w:val="000000"/>
        </w:rPr>
      </w:pPr>
    </w:p>
    <w:p w:rsidR="004C2997" w:rsidRPr="00734FE1" w:rsidRDefault="004C2997" w:rsidP="004C2997">
      <w:pPr>
        <w:autoSpaceDE w:val="0"/>
        <w:autoSpaceDN w:val="0"/>
        <w:adjustRightInd w:val="0"/>
        <w:spacing w:after="0" w:line="240" w:lineRule="auto"/>
        <w:jc w:val="both"/>
        <w:rPr>
          <w:rFonts w:cstheme="minorHAnsi"/>
          <w:color w:val="000000"/>
        </w:rPr>
      </w:pPr>
      <w:r w:rsidRPr="00734FE1">
        <w:rPr>
          <w:rFonts w:cstheme="minorHAnsi"/>
          <w:color w:val="000000"/>
        </w:rPr>
        <w:t xml:space="preserve">I.6 </w:t>
      </w:r>
      <w:r>
        <w:rPr>
          <w:rFonts w:cstheme="minorHAnsi"/>
          <w:color w:val="000000"/>
        </w:rPr>
        <w:t>Official Registration Number</w:t>
      </w:r>
      <w:r w:rsidRPr="00734FE1">
        <w:rPr>
          <w:rFonts w:cstheme="minorHAnsi"/>
          <w:color w:val="000000"/>
        </w:rPr>
        <w:t xml:space="preserve">: </w:t>
      </w:r>
    </w:p>
    <w:p w:rsidR="004C2997" w:rsidRPr="00734FE1" w:rsidRDefault="004C2997" w:rsidP="004C2997">
      <w:pPr>
        <w:autoSpaceDE w:val="0"/>
        <w:autoSpaceDN w:val="0"/>
        <w:adjustRightInd w:val="0"/>
        <w:spacing w:after="0" w:line="240" w:lineRule="auto"/>
        <w:jc w:val="both"/>
        <w:rPr>
          <w:rFonts w:cstheme="minorHAnsi"/>
          <w:color w:val="000000"/>
        </w:rPr>
      </w:pPr>
    </w:p>
    <w:p w:rsidR="004C2997" w:rsidRPr="00734FE1" w:rsidRDefault="004C2997" w:rsidP="004C2997">
      <w:pPr>
        <w:autoSpaceDE w:val="0"/>
        <w:autoSpaceDN w:val="0"/>
        <w:adjustRightInd w:val="0"/>
        <w:spacing w:after="0" w:line="240" w:lineRule="auto"/>
        <w:jc w:val="both"/>
        <w:rPr>
          <w:rFonts w:cstheme="minorHAnsi"/>
          <w:color w:val="000000"/>
        </w:rPr>
      </w:pPr>
      <w:r w:rsidRPr="00734FE1">
        <w:rPr>
          <w:rFonts w:cstheme="minorHAnsi"/>
          <w:color w:val="000000"/>
        </w:rPr>
        <w:t xml:space="preserve">I.7 </w:t>
      </w:r>
      <w:r>
        <w:rPr>
          <w:rFonts w:cstheme="minorHAnsi"/>
          <w:color w:val="000000"/>
        </w:rPr>
        <w:t>VAT Number</w:t>
      </w:r>
      <w:r w:rsidRPr="00734FE1">
        <w:rPr>
          <w:rFonts w:cstheme="minorHAnsi"/>
          <w:color w:val="000000"/>
        </w:rPr>
        <w:t xml:space="preserve">: </w:t>
      </w:r>
    </w:p>
    <w:p w:rsidR="004C2997" w:rsidRPr="00734FE1" w:rsidRDefault="004C2997" w:rsidP="004C2997">
      <w:pPr>
        <w:autoSpaceDE w:val="0"/>
        <w:autoSpaceDN w:val="0"/>
        <w:adjustRightInd w:val="0"/>
        <w:spacing w:after="0" w:line="240" w:lineRule="auto"/>
        <w:jc w:val="both"/>
        <w:rPr>
          <w:rFonts w:cstheme="minorHAnsi"/>
          <w:color w:val="000000"/>
        </w:rPr>
      </w:pPr>
    </w:p>
    <w:p w:rsidR="004C2997" w:rsidRDefault="004C2997" w:rsidP="004C2997">
      <w:r w:rsidRPr="00734FE1">
        <w:rPr>
          <w:rFonts w:cstheme="minorHAnsi"/>
          <w:color w:val="000000"/>
        </w:rPr>
        <w:t xml:space="preserve">I.8 </w:t>
      </w:r>
      <w:r w:rsidRPr="007B5162">
        <w:t>We agree to submit this</w:t>
      </w:r>
      <w:r>
        <w:t xml:space="preserve"> tender</w:t>
      </w:r>
      <w:r w:rsidRPr="007B5162">
        <w:t xml:space="preserve"> in accordance with the subject of the procurement and the conditions stated in the request for </w:t>
      </w:r>
      <w:r>
        <w:t>tenders</w:t>
      </w:r>
    </w:p>
    <w:p w:rsidR="004C2997" w:rsidRPr="00734FE1" w:rsidRDefault="004C2997" w:rsidP="004C2997">
      <w:pPr>
        <w:autoSpaceDE w:val="0"/>
        <w:autoSpaceDN w:val="0"/>
        <w:adjustRightInd w:val="0"/>
        <w:spacing w:after="0" w:line="240" w:lineRule="auto"/>
        <w:jc w:val="both"/>
        <w:rPr>
          <w:rFonts w:cstheme="minorHAnsi"/>
          <w:color w:val="000000"/>
        </w:rPr>
      </w:pPr>
    </w:p>
    <w:p w:rsidR="004C2997" w:rsidRPr="00734FE1" w:rsidRDefault="004C2997" w:rsidP="004C2997">
      <w:pPr>
        <w:autoSpaceDE w:val="0"/>
        <w:autoSpaceDN w:val="0"/>
        <w:adjustRightInd w:val="0"/>
        <w:spacing w:after="0" w:line="240" w:lineRule="auto"/>
        <w:jc w:val="both"/>
        <w:rPr>
          <w:rFonts w:cstheme="minorHAnsi"/>
          <w:color w:val="000000"/>
        </w:rPr>
      </w:pPr>
    </w:p>
    <w:p w:rsidR="004C2997" w:rsidRPr="00734FE1" w:rsidRDefault="004C2997" w:rsidP="004C2997">
      <w:pPr>
        <w:autoSpaceDE w:val="0"/>
        <w:autoSpaceDN w:val="0"/>
        <w:adjustRightInd w:val="0"/>
        <w:spacing w:after="0" w:line="240" w:lineRule="auto"/>
        <w:jc w:val="both"/>
        <w:rPr>
          <w:rFonts w:cstheme="minorHAnsi"/>
          <w:b/>
          <w:bCs/>
          <w:color w:val="000000"/>
        </w:rPr>
      </w:pPr>
      <w:r w:rsidRPr="00734FE1">
        <w:rPr>
          <w:rFonts w:cstheme="minorHAnsi"/>
          <w:b/>
          <w:bCs/>
          <w:color w:val="000000"/>
        </w:rPr>
        <w:t xml:space="preserve">II. </w:t>
      </w:r>
      <w:r>
        <w:rPr>
          <w:rFonts w:cstheme="minorHAnsi"/>
          <w:b/>
          <w:bCs/>
          <w:color w:val="000000"/>
        </w:rPr>
        <w:t>FINANCIAL OFFER</w:t>
      </w:r>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4230"/>
        <w:gridCol w:w="3438"/>
      </w:tblGrid>
      <w:tr w:rsidR="004C2997" w:rsidRPr="00734FE1" w:rsidTr="008C0755">
        <w:trPr>
          <w:trHeight w:val="244"/>
        </w:trPr>
        <w:tc>
          <w:tcPr>
            <w:tcW w:w="715" w:type="dxa"/>
          </w:tcPr>
          <w:p w:rsidR="004C2997" w:rsidRPr="00734FE1" w:rsidRDefault="004C2997" w:rsidP="008C0755">
            <w:pPr>
              <w:autoSpaceDE w:val="0"/>
              <w:autoSpaceDN w:val="0"/>
              <w:adjustRightInd w:val="0"/>
              <w:spacing w:after="0" w:line="240" w:lineRule="auto"/>
              <w:jc w:val="both"/>
              <w:rPr>
                <w:rFonts w:cstheme="minorHAnsi"/>
                <w:color w:val="000000"/>
              </w:rPr>
            </w:pPr>
            <w:r>
              <w:rPr>
                <w:rFonts w:cstheme="minorHAnsi"/>
                <w:b/>
                <w:bCs/>
                <w:color w:val="000000"/>
              </w:rPr>
              <w:t>No</w:t>
            </w:r>
            <w:r w:rsidRPr="00734FE1">
              <w:rPr>
                <w:rFonts w:cstheme="minorHAnsi"/>
                <w:b/>
                <w:bCs/>
                <w:color w:val="000000"/>
              </w:rPr>
              <w:t>.</w:t>
            </w:r>
          </w:p>
        </w:tc>
        <w:tc>
          <w:tcPr>
            <w:tcW w:w="4230" w:type="dxa"/>
          </w:tcPr>
          <w:p w:rsidR="004C2997" w:rsidRPr="00734FE1" w:rsidRDefault="004C2997" w:rsidP="008C0755">
            <w:pPr>
              <w:autoSpaceDE w:val="0"/>
              <w:autoSpaceDN w:val="0"/>
              <w:adjustRightInd w:val="0"/>
              <w:spacing w:after="0" w:line="240" w:lineRule="auto"/>
              <w:jc w:val="both"/>
              <w:rPr>
                <w:rFonts w:cstheme="minorHAnsi"/>
                <w:color w:val="000000"/>
              </w:rPr>
            </w:pPr>
            <w:r>
              <w:rPr>
                <w:rFonts w:cstheme="minorHAnsi"/>
                <w:b/>
                <w:bCs/>
                <w:color w:val="000000"/>
              </w:rPr>
              <w:t>Specification</w:t>
            </w:r>
          </w:p>
        </w:tc>
        <w:tc>
          <w:tcPr>
            <w:tcW w:w="3438" w:type="dxa"/>
          </w:tcPr>
          <w:p w:rsidR="004C2997" w:rsidRPr="00734FE1" w:rsidRDefault="004C2997" w:rsidP="008C0755">
            <w:pPr>
              <w:autoSpaceDE w:val="0"/>
              <w:autoSpaceDN w:val="0"/>
              <w:adjustRightInd w:val="0"/>
              <w:spacing w:after="0" w:line="240" w:lineRule="auto"/>
              <w:jc w:val="center"/>
              <w:rPr>
                <w:rFonts w:cstheme="minorHAnsi"/>
                <w:b/>
                <w:bCs/>
                <w:color w:val="000000"/>
              </w:rPr>
            </w:pPr>
            <w:r>
              <w:rPr>
                <w:rFonts w:cstheme="minorHAnsi"/>
                <w:b/>
                <w:bCs/>
                <w:color w:val="000000"/>
              </w:rPr>
              <w:t>Total price in EUR</w:t>
            </w:r>
          </w:p>
        </w:tc>
      </w:tr>
      <w:tr w:rsidR="004C2997" w:rsidRPr="00734FE1" w:rsidTr="008C0755">
        <w:trPr>
          <w:trHeight w:val="287"/>
        </w:trPr>
        <w:tc>
          <w:tcPr>
            <w:tcW w:w="715" w:type="dxa"/>
          </w:tcPr>
          <w:p w:rsidR="004C2997" w:rsidRPr="00734FE1" w:rsidRDefault="004C2997" w:rsidP="008C0755">
            <w:pPr>
              <w:autoSpaceDE w:val="0"/>
              <w:autoSpaceDN w:val="0"/>
              <w:adjustRightInd w:val="0"/>
              <w:spacing w:after="0" w:line="240" w:lineRule="auto"/>
              <w:jc w:val="both"/>
              <w:rPr>
                <w:rFonts w:cstheme="minorHAnsi"/>
                <w:color w:val="000000"/>
              </w:rPr>
            </w:pPr>
            <w:r w:rsidRPr="00734FE1">
              <w:rPr>
                <w:rFonts w:cstheme="minorHAnsi"/>
                <w:color w:val="000000"/>
              </w:rPr>
              <w:t xml:space="preserve">1. </w:t>
            </w:r>
          </w:p>
        </w:tc>
        <w:tc>
          <w:tcPr>
            <w:tcW w:w="4230" w:type="dxa"/>
          </w:tcPr>
          <w:p w:rsidR="004C2997" w:rsidRPr="00734FE1" w:rsidRDefault="004C2997" w:rsidP="008C0755">
            <w:pPr>
              <w:autoSpaceDE w:val="0"/>
              <w:autoSpaceDN w:val="0"/>
              <w:adjustRightInd w:val="0"/>
              <w:spacing w:after="0" w:line="240" w:lineRule="auto"/>
              <w:jc w:val="both"/>
              <w:rPr>
                <w:rFonts w:cstheme="minorHAnsi"/>
                <w:color w:val="000000"/>
              </w:rPr>
            </w:pPr>
            <w:r>
              <w:rPr>
                <w:rFonts w:cstheme="minorHAnsi"/>
                <w:color w:val="000000"/>
                <w:lang w:val="en-GB"/>
              </w:rPr>
              <w:t>Mid-term and final evaluation</w:t>
            </w:r>
            <w:r w:rsidRPr="00734FE1">
              <w:rPr>
                <w:rFonts w:cstheme="minorHAnsi"/>
                <w:color w:val="000000"/>
              </w:rPr>
              <w:t xml:space="preserve"> </w:t>
            </w:r>
          </w:p>
        </w:tc>
        <w:tc>
          <w:tcPr>
            <w:tcW w:w="3438" w:type="dxa"/>
          </w:tcPr>
          <w:p w:rsidR="004C2997" w:rsidRPr="00734FE1" w:rsidRDefault="004C2997" w:rsidP="008C0755">
            <w:pPr>
              <w:autoSpaceDE w:val="0"/>
              <w:autoSpaceDN w:val="0"/>
              <w:adjustRightInd w:val="0"/>
              <w:spacing w:after="0" w:line="240" w:lineRule="auto"/>
              <w:jc w:val="both"/>
              <w:rPr>
                <w:rFonts w:cstheme="minorHAnsi"/>
                <w:color w:val="000000"/>
              </w:rPr>
            </w:pPr>
          </w:p>
          <w:p w:rsidR="004C2997" w:rsidRPr="00734FE1" w:rsidRDefault="004C2997" w:rsidP="008C0755">
            <w:pPr>
              <w:autoSpaceDE w:val="0"/>
              <w:autoSpaceDN w:val="0"/>
              <w:adjustRightInd w:val="0"/>
              <w:spacing w:after="0" w:line="240" w:lineRule="auto"/>
              <w:jc w:val="both"/>
              <w:rPr>
                <w:rFonts w:cstheme="minorHAnsi"/>
                <w:color w:val="000000"/>
              </w:rPr>
            </w:pPr>
          </w:p>
        </w:tc>
      </w:tr>
    </w:tbl>
    <w:p w:rsidR="004C2997" w:rsidRPr="00734FE1" w:rsidRDefault="004C2997" w:rsidP="004C2997">
      <w:pPr>
        <w:autoSpaceDE w:val="0"/>
        <w:autoSpaceDN w:val="0"/>
        <w:adjustRightInd w:val="0"/>
        <w:spacing w:after="0" w:line="240" w:lineRule="auto"/>
        <w:jc w:val="both"/>
        <w:rPr>
          <w:rFonts w:cstheme="minorHAnsi"/>
          <w:color w:val="000000"/>
        </w:rPr>
      </w:pPr>
    </w:p>
    <w:p w:rsidR="004C2997" w:rsidRDefault="004C2997" w:rsidP="004C2997">
      <w:r w:rsidRPr="00B00F51">
        <w:rPr>
          <w:b/>
        </w:rPr>
        <w:t>Note:</w:t>
      </w:r>
      <w:r>
        <w:t xml:space="preserve"> The project is exempt from VAT and the total bid price should not include VAT.</w:t>
      </w:r>
    </w:p>
    <w:p w:rsidR="004C2997" w:rsidRDefault="004C2997" w:rsidP="004C2997">
      <w:r>
        <w:t>By submitting this tender, we fully accept the terms of the published procurement call.</w:t>
      </w:r>
    </w:p>
    <w:p w:rsidR="004C2997" w:rsidRPr="00734FE1" w:rsidRDefault="004C2997" w:rsidP="004C2997">
      <w:pPr>
        <w:tabs>
          <w:tab w:val="left" w:pos="4128"/>
        </w:tabs>
        <w:jc w:val="both"/>
        <w:rPr>
          <w:rFonts w:cstheme="minorHAnsi"/>
          <w:lang w:val="mk-MK"/>
        </w:rPr>
      </w:pPr>
    </w:p>
    <w:p w:rsidR="004C2997" w:rsidRPr="0083699D" w:rsidRDefault="004C2997" w:rsidP="004C2997">
      <w:pPr>
        <w:tabs>
          <w:tab w:val="left" w:pos="4128"/>
        </w:tabs>
        <w:jc w:val="both"/>
        <w:rPr>
          <w:rFonts w:cstheme="minorHAnsi"/>
          <w:lang w:val="en-GB"/>
        </w:rPr>
      </w:pPr>
      <w:r w:rsidRPr="00B00F51">
        <w:rPr>
          <w:rFonts w:cstheme="minorHAnsi"/>
          <w:lang w:val="mk-MK"/>
        </w:rPr>
        <w:t xml:space="preserve">Validity: 30 days from the date of the </w:t>
      </w:r>
      <w:r>
        <w:rPr>
          <w:rFonts w:cstheme="minorHAnsi"/>
          <w:lang w:val="en-GB"/>
        </w:rPr>
        <w:t>tender</w:t>
      </w:r>
    </w:p>
    <w:p w:rsidR="004C2997" w:rsidRPr="00B00F51" w:rsidRDefault="004C2997" w:rsidP="004C2997">
      <w:pPr>
        <w:tabs>
          <w:tab w:val="left" w:pos="4128"/>
        </w:tabs>
        <w:jc w:val="both"/>
        <w:rPr>
          <w:rFonts w:cstheme="minorHAnsi"/>
          <w:lang w:val="en-GB"/>
        </w:rPr>
      </w:pPr>
    </w:p>
    <w:p w:rsidR="004C2997" w:rsidRPr="00B00F51" w:rsidRDefault="004C2997" w:rsidP="004C2997">
      <w:pPr>
        <w:tabs>
          <w:tab w:val="left" w:pos="4128"/>
        </w:tabs>
        <w:jc w:val="both"/>
        <w:rPr>
          <w:rFonts w:cstheme="minorHAnsi"/>
          <w:lang w:val="en-GB"/>
        </w:rPr>
      </w:pPr>
      <w:r w:rsidRPr="00734FE1">
        <w:rPr>
          <w:rFonts w:cstheme="minorHAnsi"/>
          <w:lang w:val="mk-MK"/>
        </w:rPr>
        <w:t xml:space="preserve">                    </w:t>
      </w:r>
      <w:r>
        <w:rPr>
          <w:rFonts w:cstheme="minorHAnsi"/>
          <w:lang w:val="en-GB"/>
        </w:rPr>
        <w:t>Date and place</w:t>
      </w:r>
      <w:r w:rsidRPr="00734FE1">
        <w:rPr>
          <w:rFonts w:cstheme="minorHAnsi"/>
          <w:lang w:val="mk-MK"/>
        </w:rPr>
        <w:t xml:space="preserve"> </w:t>
      </w:r>
      <w:r w:rsidRPr="00734FE1">
        <w:rPr>
          <w:rFonts w:cstheme="minorHAnsi"/>
          <w:lang w:val="mk-MK"/>
        </w:rPr>
        <w:tab/>
      </w:r>
      <w:r w:rsidRPr="00734FE1">
        <w:rPr>
          <w:rFonts w:cstheme="minorHAnsi"/>
          <w:lang w:val="mk-MK"/>
        </w:rPr>
        <w:tab/>
      </w:r>
      <w:r w:rsidRPr="00734FE1">
        <w:rPr>
          <w:rFonts w:cstheme="minorHAnsi"/>
          <w:lang w:val="mk-MK"/>
        </w:rPr>
        <w:tab/>
      </w:r>
      <w:r w:rsidRPr="00734FE1">
        <w:rPr>
          <w:rFonts w:cstheme="minorHAnsi"/>
          <w:lang w:val="mk-MK"/>
        </w:rPr>
        <w:tab/>
      </w:r>
      <w:r w:rsidRPr="00734FE1">
        <w:rPr>
          <w:rFonts w:cstheme="minorHAnsi"/>
          <w:lang w:val="mk-MK"/>
        </w:rPr>
        <w:tab/>
      </w:r>
      <w:r w:rsidRPr="00734FE1">
        <w:rPr>
          <w:rFonts w:cstheme="minorHAnsi"/>
          <w:lang w:val="mk-MK"/>
        </w:rPr>
        <w:tab/>
      </w:r>
      <w:r>
        <w:rPr>
          <w:rFonts w:cstheme="minorHAnsi"/>
          <w:lang w:val="en-GB"/>
        </w:rPr>
        <w:t>Signature</w:t>
      </w:r>
    </w:p>
    <w:p w:rsidR="004C2997" w:rsidRDefault="004C2997" w:rsidP="004C2997">
      <w:pPr>
        <w:tabs>
          <w:tab w:val="left" w:pos="4128"/>
        </w:tabs>
        <w:jc w:val="both"/>
        <w:rPr>
          <w:rFonts w:cstheme="minorHAnsi"/>
          <w:lang w:val="mk-MK"/>
        </w:rPr>
      </w:pPr>
      <w:r w:rsidRPr="00734FE1">
        <w:rPr>
          <w:rFonts w:cstheme="minorHAnsi"/>
          <w:lang w:val="mk-MK"/>
        </w:rPr>
        <w:t>__________________________________</w:t>
      </w:r>
      <w:r w:rsidRPr="00734FE1">
        <w:rPr>
          <w:rFonts w:cstheme="minorHAnsi"/>
          <w:lang w:val="mk-MK"/>
        </w:rPr>
        <w:tab/>
      </w:r>
      <w:r w:rsidRPr="00734FE1">
        <w:rPr>
          <w:rFonts w:cstheme="minorHAnsi"/>
          <w:lang w:val="mk-MK"/>
        </w:rPr>
        <w:tab/>
      </w:r>
      <w:r w:rsidRPr="00734FE1">
        <w:rPr>
          <w:rFonts w:cstheme="minorHAnsi"/>
          <w:lang w:val="mk-MK"/>
        </w:rPr>
        <w:tab/>
      </w:r>
      <w:r w:rsidRPr="00734FE1">
        <w:rPr>
          <w:rFonts w:cstheme="minorHAnsi"/>
          <w:lang w:val="mk-MK"/>
        </w:rPr>
        <w:tab/>
        <w:t xml:space="preserve"> _____________________________</w:t>
      </w:r>
    </w:p>
    <w:p w:rsidR="00DF2D6C" w:rsidRDefault="00DF2D6C" w:rsidP="00386BFA">
      <w:pPr>
        <w:tabs>
          <w:tab w:val="left" w:pos="4128"/>
        </w:tabs>
        <w:jc w:val="both"/>
        <w:rPr>
          <w:rFonts w:cstheme="minorHAnsi"/>
          <w:lang w:val="mk-MK"/>
        </w:rPr>
      </w:pPr>
    </w:p>
    <w:p w:rsidR="00DF2D6C" w:rsidRDefault="00DF2D6C" w:rsidP="00386BFA">
      <w:pPr>
        <w:tabs>
          <w:tab w:val="left" w:pos="4128"/>
        </w:tabs>
        <w:jc w:val="both"/>
        <w:rPr>
          <w:rFonts w:cstheme="minorHAnsi"/>
          <w:lang w:val="mk-MK"/>
        </w:rPr>
      </w:pPr>
    </w:p>
    <w:p w:rsidR="00DF2D6C" w:rsidRDefault="00DF2D6C" w:rsidP="00386BFA">
      <w:pPr>
        <w:tabs>
          <w:tab w:val="left" w:pos="4128"/>
        </w:tabs>
        <w:jc w:val="both"/>
        <w:rPr>
          <w:rFonts w:cstheme="minorHAnsi"/>
          <w:lang w:val="mk-MK"/>
        </w:rPr>
      </w:pPr>
    </w:p>
    <w:p w:rsidR="00DF2D6C" w:rsidRDefault="00DF2D6C" w:rsidP="00386BFA">
      <w:pPr>
        <w:tabs>
          <w:tab w:val="left" w:pos="4128"/>
        </w:tabs>
        <w:jc w:val="both"/>
        <w:rPr>
          <w:rFonts w:cstheme="minorHAnsi"/>
          <w:lang w:val="mk-MK"/>
        </w:rPr>
      </w:pPr>
    </w:p>
    <w:p w:rsidR="004C2997" w:rsidRPr="00C81C7E" w:rsidRDefault="004C2997" w:rsidP="004C2997">
      <w:pPr>
        <w:pStyle w:val="BodyText"/>
        <w:ind w:right="318"/>
        <w:jc w:val="center"/>
        <w:rPr>
          <w:rFonts w:ascii="Calibri" w:hAnsi="Calibri" w:cs="Arial"/>
          <w:b/>
        </w:rPr>
      </w:pPr>
      <w:r w:rsidRPr="00C81C7E">
        <w:rPr>
          <w:rFonts w:ascii="Calibri" w:hAnsi="Calibri" w:cs="Arial"/>
          <w:b/>
        </w:rPr>
        <w:t>Annex 2 - Declaration for acceptance of the conditions from the tender documentation</w:t>
      </w:r>
    </w:p>
    <w:p w:rsidR="004C2997" w:rsidRPr="000A78F9" w:rsidRDefault="004C2997" w:rsidP="004C2997">
      <w:pPr>
        <w:pStyle w:val="BodyText"/>
        <w:ind w:right="318"/>
        <w:jc w:val="center"/>
        <w:rPr>
          <w:rFonts w:ascii="Calibri" w:hAnsi="Calibri" w:cs="Arial"/>
          <w:b/>
          <w:lang w:val="mk-MK"/>
        </w:rPr>
      </w:pPr>
    </w:p>
    <w:p w:rsidR="004C2997" w:rsidRPr="000A78F9" w:rsidRDefault="004C2997" w:rsidP="004C2997">
      <w:pPr>
        <w:pStyle w:val="BodyText"/>
        <w:ind w:right="318"/>
        <w:jc w:val="center"/>
        <w:rPr>
          <w:rFonts w:ascii="Calibri" w:hAnsi="Calibri" w:cs="Arial"/>
          <w:b/>
          <w:lang w:val="mk-MK"/>
        </w:rPr>
      </w:pPr>
    </w:p>
    <w:p w:rsidR="004C2997" w:rsidRPr="00C81C7E" w:rsidRDefault="004C2997" w:rsidP="004C2997">
      <w:pPr>
        <w:pStyle w:val="BodyText"/>
        <w:ind w:right="318"/>
        <w:jc w:val="center"/>
        <w:rPr>
          <w:rFonts w:ascii="Calibri" w:hAnsi="Calibri" w:cs="Arial"/>
          <w:b/>
        </w:rPr>
      </w:pPr>
      <w:r>
        <w:rPr>
          <w:rFonts w:ascii="Calibri" w:hAnsi="Calibri" w:cs="Arial"/>
          <w:b/>
        </w:rPr>
        <w:t>D</w:t>
      </w:r>
      <w:r w:rsidR="00B90177">
        <w:rPr>
          <w:rFonts w:ascii="Calibri" w:hAnsi="Calibri" w:cs="Arial"/>
          <w:b/>
        </w:rPr>
        <w:t xml:space="preserve"> </w:t>
      </w:r>
      <w:r>
        <w:rPr>
          <w:rFonts w:ascii="Calibri" w:hAnsi="Calibri" w:cs="Arial"/>
          <w:b/>
        </w:rPr>
        <w:t>E</w:t>
      </w:r>
      <w:r w:rsidR="00B90177">
        <w:rPr>
          <w:rFonts w:ascii="Calibri" w:hAnsi="Calibri" w:cs="Arial"/>
          <w:b/>
        </w:rPr>
        <w:t xml:space="preserve"> </w:t>
      </w:r>
      <w:r>
        <w:rPr>
          <w:rFonts w:ascii="Calibri" w:hAnsi="Calibri" w:cs="Arial"/>
          <w:b/>
        </w:rPr>
        <w:t>C</w:t>
      </w:r>
      <w:r w:rsidR="00B90177">
        <w:rPr>
          <w:rFonts w:ascii="Calibri" w:hAnsi="Calibri" w:cs="Arial"/>
          <w:b/>
        </w:rPr>
        <w:t xml:space="preserve"> </w:t>
      </w:r>
      <w:r>
        <w:rPr>
          <w:rFonts w:ascii="Calibri" w:hAnsi="Calibri" w:cs="Arial"/>
          <w:b/>
        </w:rPr>
        <w:t>L</w:t>
      </w:r>
      <w:r w:rsidR="00B90177">
        <w:rPr>
          <w:rFonts w:ascii="Calibri" w:hAnsi="Calibri" w:cs="Arial"/>
          <w:b/>
        </w:rPr>
        <w:t xml:space="preserve"> </w:t>
      </w:r>
      <w:r>
        <w:rPr>
          <w:rFonts w:ascii="Calibri" w:hAnsi="Calibri" w:cs="Arial"/>
          <w:b/>
        </w:rPr>
        <w:t>A</w:t>
      </w:r>
      <w:r w:rsidR="00B90177">
        <w:rPr>
          <w:rFonts w:ascii="Calibri" w:hAnsi="Calibri" w:cs="Arial"/>
          <w:b/>
        </w:rPr>
        <w:t xml:space="preserve"> </w:t>
      </w:r>
      <w:r>
        <w:rPr>
          <w:rFonts w:ascii="Calibri" w:hAnsi="Calibri" w:cs="Arial"/>
          <w:b/>
        </w:rPr>
        <w:t>R</w:t>
      </w:r>
      <w:r w:rsidR="00B90177">
        <w:rPr>
          <w:rFonts w:ascii="Calibri" w:hAnsi="Calibri" w:cs="Arial"/>
          <w:b/>
        </w:rPr>
        <w:t xml:space="preserve"> </w:t>
      </w:r>
      <w:r>
        <w:rPr>
          <w:rFonts w:ascii="Calibri" w:hAnsi="Calibri" w:cs="Arial"/>
          <w:b/>
        </w:rPr>
        <w:t>A</w:t>
      </w:r>
      <w:r w:rsidR="00B90177">
        <w:rPr>
          <w:rFonts w:ascii="Calibri" w:hAnsi="Calibri" w:cs="Arial"/>
          <w:b/>
        </w:rPr>
        <w:t xml:space="preserve"> </w:t>
      </w:r>
      <w:r>
        <w:rPr>
          <w:rFonts w:ascii="Calibri" w:hAnsi="Calibri" w:cs="Arial"/>
          <w:b/>
        </w:rPr>
        <w:t>T</w:t>
      </w:r>
      <w:r w:rsidR="00B90177">
        <w:rPr>
          <w:rFonts w:ascii="Calibri" w:hAnsi="Calibri" w:cs="Arial"/>
          <w:b/>
        </w:rPr>
        <w:t xml:space="preserve"> </w:t>
      </w:r>
      <w:r>
        <w:rPr>
          <w:rFonts w:ascii="Calibri" w:hAnsi="Calibri" w:cs="Arial"/>
          <w:b/>
        </w:rPr>
        <w:t>I</w:t>
      </w:r>
      <w:r w:rsidR="00B90177">
        <w:rPr>
          <w:rFonts w:ascii="Calibri" w:hAnsi="Calibri" w:cs="Arial"/>
          <w:b/>
        </w:rPr>
        <w:t xml:space="preserve"> </w:t>
      </w:r>
      <w:r>
        <w:rPr>
          <w:rFonts w:ascii="Calibri" w:hAnsi="Calibri" w:cs="Arial"/>
          <w:b/>
        </w:rPr>
        <w:t>O</w:t>
      </w:r>
      <w:r w:rsidR="00B90177">
        <w:rPr>
          <w:rFonts w:ascii="Calibri" w:hAnsi="Calibri" w:cs="Arial"/>
          <w:b/>
        </w:rPr>
        <w:t xml:space="preserve"> </w:t>
      </w:r>
      <w:r>
        <w:rPr>
          <w:rFonts w:ascii="Calibri" w:hAnsi="Calibri" w:cs="Arial"/>
          <w:b/>
        </w:rPr>
        <w:t>N</w:t>
      </w:r>
    </w:p>
    <w:p w:rsidR="004C2997" w:rsidRPr="000A78F9" w:rsidRDefault="004C2997" w:rsidP="004C2997">
      <w:pPr>
        <w:ind w:right="318"/>
        <w:jc w:val="both"/>
        <w:rPr>
          <w:rFonts w:ascii="Calibri" w:hAnsi="Calibri" w:cs="Arial"/>
        </w:rPr>
      </w:pPr>
    </w:p>
    <w:p w:rsidR="004C2997" w:rsidRPr="000A78F9" w:rsidRDefault="004C2997" w:rsidP="004C2997">
      <w:pPr>
        <w:ind w:right="318"/>
        <w:jc w:val="both"/>
        <w:rPr>
          <w:rFonts w:ascii="Calibri" w:hAnsi="Calibri" w:cs="Arial"/>
        </w:rPr>
      </w:pPr>
    </w:p>
    <w:p w:rsidR="004C2997" w:rsidRPr="00C81C7E" w:rsidRDefault="004C2997" w:rsidP="004C2997">
      <w:pPr>
        <w:spacing w:line="360" w:lineRule="auto"/>
        <w:ind w:right="318" w:firstLine="748"/>
        <w:jc w:val="both"/>
        <w:rPr>
          <w:rFonts w:ascii="Calibri" w:hAnsi="Calibri" w:cs="Arial"/>
          <w:lang w:val="en-GB"/>
        </w:rPr>
      </w:pPr>
      <w:r w:rsidRPr="00C81C7E">
        <w:rPr>
          <w:rFonts w:ascii="Calibri" w:hAnsi="Calibri" w:cs="Arial"/>
          <w:lang w:val="en-GB"/>
        </w:rPr>
        <w:t>We de</w:t>
      </w:r>
      <w:r>
        <w:rPr>
          <w:rFonts w:ascii="Calibri" w:hAnsi="Calibri" w:cs="Arial"/>
          <w:lang w:val="en-GB"/>
        </w:rPr>
        <w:t>clare that by submitting the tender</w:t>
      </w:r>
      <w:r w:rsidRPr="00C81C7E">
        <w:rPr>
          <w:rFonts w:ascii="Calibri" w:hAnsi="Calibri" w:cs="Arial"/>
          <w:lang w:val="en-GB"/>
        </w:rPr>
        <w:t xml:space="preserve"> we fully accept all the conditions of the tender documentation for procurement of services for mid-term and final evaluation of the project Increasing Civic Engagement in the Digital Agenda - ICEDA on the basis of which we submit our </w:t>
      </w:r>
      <w:r>
        <w:rPr>
          <w:rFonts w:ascii="Calibri" w:hAnsi="Calibri" w:cs="Arial"/>
          <w:lang w:val="en-GB"/>
        </w:rPr>
        <w:t>tender</w:t>
      </w:r>
      <w:r w:rsidRPr="00C81C7E">
        <w:rPr>
          <w:rFonts w:ascii="Calibri" w:hAnsi="Calibri" w:cs="Arial"/>
          <w:lang w:val="en-GB"/>
        </w:rPr>
        <w:t>. We agree that these conditions should be an integral part of the agreement.</w:t>
      </w:r>
    </w:p>
    <w:p w:rsidR="004C2997" w:rsidRPr="00C81C7E" w:rsidRDefault="004C2997" w:rsidP="004C2997">
      <w:pPr>
        <w:spacing w:line="360" w:lineRule="auto"/>
        <w:ind w:right="318" w:firstLine="748"/>
        <w:jc w:val="both"/>
        <w:rPr>
          <w:rFonts w:ascii="Calibri" w:hAnsi="Calibri" w:cs="Arial"/>
          <w:lang w:val="en-GB"/>
        </w:rPr>
      </w:pPr>
      <w:r w:rsidRPr="00C81C7E">
        <w:rPr>
          <w:rFonts w:ascii="Calibri" w:hAnsi="Calibri" w:cs="Arial"/>
          <w:lang w:val="en-GB"/>
        </w:rPr>
        <w:t>At your request, we will provide you with all the documents s</w:t>
      </w:r>
      <w:r>
        <w:rPr>
          <w:rFonts w:ascii="Calibri" w:hAnsi="Calibri" w:cs="Arial"/>
          <w:lang w:val="en-GB"/>
        </w:rPr>
        <w:t>pecified in the request for tenders</w:t>
      </w:r>
      <w:r w:rsidRPr="00C81C7E">
        <w:rPr>
          <w:rFonts w:ascii="Calibri" w:hAnsi="Calibri" w:cs="Arial"/>
          <w:lang w:val="en-GB"/>
        </w:rPr>
        <w:t xml:space="preserve"> required to prove that these criteria are met.</w:t>
      </w:r>
    </w:p>
    <w:p w:rsidR="004C2997" w:rsidRPr="000A78F9" w:rsidRDefault="004C2997" w:rsidP="004C2997">
      <w:pPr>
        <w:spacing w:line="360" w:lineRule="auto"/>
        <w:ind w:right="318" w:firstLine="748"/>
        <w:jc w:val="both"/>
        <w:rPr>
          <w:rFonts w:ascii="Calibri" w:hAnsi="Calibri" w:cs="Arial"/>
        </w:rPr>
      </w:pPr>
    </w:p>
    <w:p w:rsidR="004C2997" w:rsidRPr="000A78F9" w:rsidRDefault="004C2997" w:rsidP="004C2997">
      <w:pPr>
        <w:ind w:right="318"/>
        <w:jc w:val="both"/>
        <w:rPr>
          <w:rFonts w:ascii="Calibri" w:hAnsi="Calibri" w:cs="Arial"/>
        </w:rPr>
      </w:pPr>
    </w:p>
    <w:p w:rsidR="004C2997" w:rsidRPr="000A78F9" w:rsidRDefault="004C2997" w:rsidP="004C2997">
      <w:pPr>
        <w:ind w:right="318"/>
        <w:rPr>
          <w:rFonts w:ascii="Calibri" w:hAnsi="Calibri" w:cs="Arial"/>
        </w:rPr>
      </w:pPr>
    </w:p>
    <w:p w:rsidR="004C2997" w:rsidRPr="000A78F9" w:rsidRDefault="004C2997" w:rsidP="004C2997">
      <w:pPr>
        <w:ind w:right="318"/>
        <w:rPr>
          <w:rFonts w:ascii="Calibri" w:hAnsi="Calibri" w:cs="Arial"/>
        </w:rPr>
      </w:pPr>
    </w:p>
    <w:p w:rsidR="004C2997" w:rsidRDefault="004C2997" w:rsidP="004C2997">
      <w:pPr>
        <w:ind w:right="318"/>
        <w:rPr>
          <w:rFonts w:cstheme="minorHAnsi"/>
        </w:rPr>
      </w:pPr>
      <w:r>
        <w:rPr>
          <w:rFonts w:cstheme="minorHAnsi"/>
          <w:lang w:val="en-GB"/>
        </w:rPr>
        <w:t>Date and place</w:t>
      </w:r>
      <w:r>
        <w:rPr>
          <w:rFonts w:cstheme="minorHAnsi"/>
          <w:lang w:val="en-GB"/>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lang w:val="en-GB"/>
        </w:rPr>
        <w:t>Responsible person</w:t>
      </w:r>
      <w:r>
        <w:rPr>
          <w:rFonts w:cstheme="minorHAnsi"/>
        </w:rPr>
        <w:t xml:space="preserve"> </w:t>
      </w:r>
    </w:p>
    <w:p w:rsidR="004C2997" w:rsidRDefault="004C2997" w:rsidP="004C2997">
      <w:pPr>
        <w:ind w:right="318"/>
        <w:jc w:val="both"/>
        <w:rPr>
          <w:rFonts w:cstheme="minorHAnsi"/>
        </w:rPr>
      </w:pPr>
      <w:r>
        <w:rPr>
          <w:rFonts w:cstheme="minorHAnsi"/>
        </w:rPr>
        <w:tab/>
      </w:r>
      <w:r>
        <w:rPr>
          <w:rFonts w:cstheme="minorHAnsi"/>
        </w:rPr>
        <w:tab/>
      </w:r>
      <w:r>
        <w:rPr>
          <w:rFonts w:cstheme="minorHAnsi"/>
        </w:rPr>
        <w:tab/>
      </w:r>
      <w:r>
        <w:rPr>
          <w:rFonts w:cstheme="minorHAnsi"/>
        </w:rPr>
        <w:tab/>
        <w:t xml:space="preserve">       </w:t>
      </w:r>
    </w:p>
    <w:p w:rsidR="004C2997" w:rsidRDefault="004C2997" w:rsidP="004C2997">
      <w:pPr>
        <w:ind w:right="318"/>
        <w:rPr>
          <w:rFonts w:cstheme="minorHAnsi"/>
        </w:rPr>
      </w:pPr>
      <w:r>
        <w:rPr>
          <w:rFonts w:cstheme="minorHAnsi"/>
        </w:rPr>
        <w:t>___________________</w:t>
      </w:r>
      <w:r>
        <w:rPr>
          <w:rFonts w:cstheme="minorHAnsi"/>
        </w:rPr>
        <w:tab/>
      </w:r>
      <w:r>
        <w:rPr>
          <w:rFonts w:cstheme="minorHAnsi"/>
        </w:rPr>
        <w:tab/>
      </w:r>
      <w:r>
        <w:rPr>
          <w:rFonts w:cstheme="minorHAnsi"/>
        </w:rPr>
        <w:tab/>
      </w:r>
      <w:r>
        <w:rPr>
          <w:rFonts w:cstheme="minorHAnsi"/>
        </w:rPr>
        <w:tab/>
        <w:t xml:space="preserve">                       ________________________________</w:t>
      </w:r>
    </w:p>
    <w:p w:rsidR="004C2997" w:rsidRDefault="004C2997" w:rsidP="004C2997">
      <w:pPr>
        <w:ind w:right="318"/>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r>
        <w:rPr>
          <w:rFonts w:cstheme="minorHAnsi"/>
          <w:lang w:val="en-GB"/>
        </w:rPr>
        <w:t>signature and stamp</w:t>
      </w:r>
      <w:r>
        <w:rPr>
          <w:rFonts w:cstheme="minorHAnsi"/>
        </w:rPr>
        <w:t>)</w:t>
      </w:r>
    </w:p>
    <w:p w:rsidR="004C2997" w:rsidRDefault="004C2997" w:rsidP="004C2997"/>
    <w:p w:rsidR="00DF2D6C" w:rsidRDefault="00DF2D6C" w:rsidP="00DF2D6C"/>
    <w:p w:rsidR="00DF2D6C" w:rsidRDefault="00DF2D6C" w:rsidP="00386BFA">
      <w:pPr>
        <w:tabs>
          <w:tab w:val="left" w:pos="4128"/>
        </w:tabs>
        <w:jc w:val="both"/>
        <w:rPr>
          <w:rFonts w:cstheme="minorHAnsi"/>
          <w:lang w:val="mk-MK"/>
        </w:rPr>
      </w:pPr>
    </w:p>
    <w:p w:rsidR="00DF2D6C" w:rsidRDefault="00DF2D6C" w:rsidP="00386BFA">
      <w:pPr>
        <w:tabs>
          <w:tab w:val="left" w:pos="4128"/>
        </w:tabs>
        <w:jc w:val="both"/>
        <w:rPr>
          <w:rFonts w:cstheme="minorHAnsi"/>
          <w:lang w:val="mk-MK"/>
        </w:rPr>
      </w:pPr>
    </w:p>
    <w:p w:rsidR="00DF2D6C" w:rsidRDefault="00DF2D6C" w:rsidP="00386BFA">
      <w:pPr>
        <w:tabs>
          <w:tab w:val="left" w:pos="4128"/>
        </w:tabs>
        <w:jc w:val="both"/>
        <w:rPr>
          <w:rFonts w:cstheme="minorHAnsi"/>
          <w:lang w:val="mk-MK"/>
        </w:rPr>
      </w:pPr>
    </w:p>
    <w:p w:rsidR="00DF2D6C" w:rsidRDefault="00DF2D6C" w:rsidP="00386BFA">
      <w:pPr>
        <w:tabs>
          <w:tab w:val="left" w:pos="4128"/>
        </w:tabs>
        <w:jc w:val="both"/>
        <w:rPr>
          <w:rFonts w:cstheme="minorHAnsi"/>
          <w:lang w:val="mk-MK"/>
        </w:rPr>
      </w:pPr>
    </w:p>
    <w:p w:rsidR="00DF2D6C" w:rsidRDefault="00DF2D6C" w:rsidP="00386BFA">
      <w:pPr>
        <w:tabs>
          <w:tab w:val="left" w:pos="4128"/>
        </w:tabs>
        <w:jc w:val="both"/>
        <w:rPr>
          <w:rFonts w:cstheme="minorHAnsi"/>
          <w:lang w:val="mk-MK"/>
        </w:rPr>
      </w:pPr>
    </w:p>
    <w:p w:rsidR="00DF2D6C" w:rsidRDefault="00DF2D6C" w:rsidP="00DF2D6C">
      <w:pPr>
        <w:tabs>
          <w:tab w:val="left" w:pos="1760"/>
        </w:tabs>
        <w:jc w:val="both"/>
        <w:rPr>
          <w:rFonts w:ascii="Calibri" w:hAnsi="Calibri"/>
          <w:b/>
        </w:rPr>
      </w:pPr>
    </w:p>
    <w:p w:rsidR="004C2997" w:rsidRPr="00B61813" w:rsidRDefault="004C2997" w:rsidP="004C2997">
      <w:pPr>
        <w:pStyle w:val="BodyText"/>
        <w:ind w:right="318"/>
        <w:rPr>
          <w:rFonts w:ascii="Calibri" w:hAnsi="Calibri"/>
          <w:b/>
        </w:rPr>
      </w:pPr>
      <w:r w:rsidRPr="00B61813">
        <w:rPr>
          <w:rFonts w:ascii="Calibri" w:hAnsi="Calibri"/>
          <w:b/>
        </w:rPr>
        <w:t>Annex 3 - Declaration by which the tenderer confirms that they meet the criteria for determining the personal status</w:t>
      </w:r>
    </w:p>
    <w:p w:rsidR="004C2997" w:rsidRPr="000A78F9" w:rsidRDefault="004C2997" w:rsidP="004C2997">
      <w:pPr>
        <w:pStyle w:val="BodyText"/>
        <w:ind w:right="318"/>
        <w:rPr>
          <w:rFonts w:ascii="Calibri" w:hAnsi="Calibri"/>
          <w:lang w:val="mk-MK"/>
        </w:rPr>
      </w:pPr>
    </w:p>
    <w:p w:rsidR="004C2997" w:rsidRPr="000A78F9" w:rsidRDefault="004C2997" w:rsidP="004C2997">
      <w:pPr>
        <w:pStyle w:val="BodyText"/>
        <w:ind w:right="318"/>
        <w:rPr>
          <w:rFonts w:ascii="Calibri" w:hAnsi="Calibri"/>
          <w:lang w:val="mk-MK"/>
        </w:rPr>
      </w:pPr>
    </w:p>
    <w:p w:rsidR="004C2997" w:rsidRPr="00B61813" w:rsidRDefault="00B90177" w:rsidP="004C2997">
      <w:pPr>
        <w:pStyle w:val="BodyText"/>
        <w:ind w:right="26"/>
        <w:jc w:val="center"/>
        <w:rPr>
          <w:rFonts w:ascii="Calibri" w:hAnsi="Calibri"/>
          <w:b/>
        </w:rPr>
      </w:pPr>
      <w:r>
        <w:rPr>
          <w:rFonts w:ascii="Calibri" w:hAnsi="Calibri"/>
          <w:b/>
        </w:rPr>
        <w:t>D E C L A R A T I O</w:t>
      </w:r>
      <w:r w:rsidR="004C2997">
        <w:rPr>
          <w:rFonts w:ascii="Calibri" w:hAnsi="Calibri"/>
          <w:b/>
        </w:rPr>
        <w:t xml:space="preserve"> N</w:t>
      </w:r>
    </w:p>
    <w:p w:rsidR="004C2997" w:rsidRPr="000A78F9" w:rsidRDefault="004C2997" w:rsidP="004C2997">
      <w:pPr>
        <w:ind w:right="26"/>
        <w:jc w:val="both"/>
        <w:rPr>
          <w:rFonts w:ascii="Calibri" w:hAnsi="Calibri"/>
        </w:rPr>
      </w:pPr>
    </w:p>
    <w:p w:rsidR="004C2997" w:rsidRPr="000A78F9" w:rsidRDefault="004C2997" w:rsidP="004C2997">
      <w:pPr>
        <w:spacing w:line="276" w:lineRule="auto"/>
        <w:ind w:right="29"/>
        <w:jc w:val="both"/>
        <w:rPr>
          <w:rFonts w:ascii="Calibri" w:hAnsi="Calibri"/>
        </w:rPr>
      </w:pPr>
    </w:p>
    <w:p w:rsidR="004C2997" w:rsidRPr="00B61813" w:rsidRDefault="004C2997" w:rsidP="004C2997">
      <w:pPr>
        <w:spacing w:line="360" w:lineRule="auto"/>
        <w:ind w:right="26" w:firstLine="748"/>
        <w:jc w:val="both"/>
        <w:rPr>
          <w:rFonts w:ascii="Calibri" w:hAnsi="Calibri"/>
        </w:rPr>
      </w:pPr>
      <w:r w:rsidRPr="00B61813">
        <w:rPr>
          <w:rFonts w:ascii="Calibri" w:hAnsi="Calibri"/>
          <w:lang w:val="en-GB"/>
        </w:rPr>
        <w:t xml:space="preserve">Under full material and criminal responsibility I declare that the tenderer _____________________________________________________________ </w:t>
      </w:r>
      <w:r w:rsidRPr="00B61813">
        <w:rPr>
          <w:rFonts w:ascii="Calibri" w:hAnsi="Calibri"/>
          <w:i/>
          <w:lang w:val="en-GB"/>
        </w:rPr>
        <w:t>[name of the tenderer]</w:t>
      </w:r>
      <w:r w:rsidRPr="00B61813">
        <w:rPr>
          <w:rFonts w:ascii="Calibri" w:hAnsi="Calibri"/>
          <w:lang w:val="en-GB"/>
        </w:rPr>
        <w:t xml:space="preserve"> fully meets the criteria for determ</w:t>
      </w:r>
      <w:r>
        <w:rPr>
          <w:rFonts w:ascii="Calibri" w:hAnsi="Calibri"/>
          <w:lang w:val="en-GB"/>
        </w:rPr>
        <w:t>ining the personal status of</w:t>
      </w:r>
      <w:r w:rsidRPr="00B61813">
        <w:rPr>
          <w:rFonts w:ascii="Calibri" w:hAnsi="Calibri"/>
          <w:lang w:val="en-GB"/>
        </w:rPr>
        <w:t xml:space="preserve"> tenderers set out in the tender documentation for procurement of services for mid-term and final evaluation of the project Increasing Civic Engagement in the Digital Agenda - ICEDA and that the tenderer will make available all the documents specified in the tender documentation to prove the fulfillment of these criteria, if the tender is selected as the most favorable and the procurer so requests.</w:t>
      </w:r>
    </w:p>
    <w:p w:rsidR="004C2997" w:rsidRDefault="004C2997" w:rsidP="004C2997">
      <w:pPr>
        <w:spacing w:line="360" w:lineRule="auto"/>
        <w:ind w:right="26" w:firstLine="748"/>
        <w:jc w:val="both"/>
        <w:rPr>
          <w:rFonts w:ascii="Calibri" w:hAnsi="Calibri" w:cs="Arial"/>
        </w:rPr>
      </w:pPr>
    </w:p>
    <w:p w:rsidR="004C2997" w:rsidRDefault="004C2997" w:rsidP="004C2997">
      <w:pPr>
        <w:spacing w:line="360" w:lineRule="auto"/>
        <w:ind w:right="26" w:firstLine="748"/>
        <w:jc w:val="both"/>
        <w:rPr>
          <w:rFonts w:ascii="Calibri" w:hAnsi="Calibri" w:cs="Arial"/>
        </w:rPr>
      </w:pPr>
    </w:p>
    <w:p w:rsidR="004C2997" w:rsidRPr="000A78F9" w:rsidRDefault="004C2997" w:rsidP="004C2997">
      <w:pPr>
        <w:spacing w:line="360" w:lineRule="auto"/>
        <w:ind w:right="26" w:firstLine="748"/>
        <w:jc w:val="both"/>
        <w:rPr>
          <w:rFonts w:ascii="Calibri" w:hAnsi="Calibri"/>
        </w:rPr>
      </w:pPr>
    </w:p>
    <w:p w:rsidR="004C2997" w:rsidRPr="000A78F9" w:rsidRDefault="004C2997" w:rsidP="004C2997">
      <w:pPr>
        <w:ind w:right="318"/>
        <w:jc w:val="both"/>
        <w:rPr>
          <w:rFonts w:ascii="Calibri" w:hAnsi="Calibri"/>
        </w:rPr>
      </w:pPr>
    </w:p>
    <w:tbl>
      <w:tblPr>
        <w:tblW w:w="0" w:type="auto"/>
        <w:jc w:val="center"/>
        <w:tblLook w:val="01E0"/>
      </w:tblPr>
      <w:tblGrid>
        <w:gridCol w:w="4261"/>
        <w:gridCol w:w="4261"/>
      </w:tblGrid>
      <w:tr w:rsidR="004C2997" w:rsidRPr="000A78F9" w:rsidTr="008C0755">
        <w:trPr>
          <w:jc w:val="center"/>
        </w:trPr>
        <w:tc>
          <w:tcPr>
            <w:tcW w:w="4261" w:type="dxa"/>
          </w:tcPr>
          <w:p w:rsidR="004C2997" w:rsidRPr="00B61813" w:rsidRDefault="004C2997" w:rsidP="008C0755">
            <w:pPr>
              <w:ind w:right="318"/>
              <w:rPr>
                <w:rFonts w:ascii="Calibri" w:hAnsi="Calibri"/>
                <w:lang w:val="en-GB"/>
              </w:rPr>
            </w:pPr>
            <w:r>
              <w:rPr>
                <w:rFonts w:ascii="Calibri" w:hAnsi="Calibri"/>
                <w:lang w:val="en-GB"/>
              </w:rPr>
              <w:t>Date and place</w:t>
            </w:r>
          </w:p>
          <w:p w:rsidR="004C2997" w:rsidRPr="000A78F9" w:rsidRDefault="004C2997" w:rsidP="008C0755">
            <w:pPr>
              <w:ind w:right="318"/>
              <w:rPr>
                <w:rFonts w:ascii="Calibri" w:hAnsi="Calibri"/>
              </w:rPr>
            </w:pPr>
          </w:p>
          <w:p w:rsidR="004C2997" w:rsidRPr="000A78F9" w:rsidRDefault="004C2997" w:rsidP="008C0755">
            <w:pPr>
              <w:ind w:right="318"/>
              <w:rPr>
                <w:rFonts w:ascii="Calibri" w:hAnsi="Calibri"/>
              </w:rPr>
            </w:pPr>
            <w:r w:rsidRPr="000A78F9">
              <w:rPr>
                <w:rFonts w:ascii="Calibri" w:hAnsi="Calibri"/>
              </w:rPr>
              <w:t>___________________________</w:t>
            </w:r>
          </w:p>
        </w:tc>
        <w:tc>
          <w:tcPr>
            <w:tcW w:w="4261" w:type="dxa"/>
          </w:tcPr>
          <w:p w:rsidR="004C2997" w:rsidRPr="00B61813" w:rsidRDefault="004C2997" w:rsidP="008C0755">
            <w:pPr>
              <w:ind w:right="318"/>
              <w:jc w:val="center"/>
              <w:rPr>
                <w:rFonts w:ascii="Calibri" w:hAnsi="Calibri"/>
                <w:lang w:val="en-GB"/>
              </w:rPr>
            </w:pPr>
            <w:r>
              <w:rPr>
                <w:rFonts w:ascii="Calibri" w:hAnsi="Calibri"/>
                <w:lang w:val="en-GB"/>
              </w:rPr>
              <w:t>Responsible person</w:t>
            </w:r>
          </w:p>
          <w:p w:rsidR="004C2997" w:rsidRPr="000A78F9" w:rsidRDefault="004C2997" w:rsidP="008C0755">
            <w:pPr>
              <w:ind w:right="318"/>
              <w:jc w:val="center"/>
              <w:rPr>
                <w:rFonts w:ascii="Calibri" w:hAnsi="Calibri"/>
              </w:rPr>
            </w:pPr>
          </w:p>
          <w:p w:rsidR="004C2997" w:rsidRPr="000A78F9" w:rsidRDefault="004C2997" w:rsidP="008C0755">
            <w:pPr>
              <w:ind w:right="318"/>
              <w:jc w:val="center"/>
              <w:rPr>
                <w:rFonts w:ascii="Calibri" w:hAnsi="Calibri"/>
              </w:rPr>
            </w:pPr>
            <w:r w:rsidRPr="000A78F9">
              <w:rPr>
                <w:rFonts w:ascii="Calibri" w:hAnsi="Calibri"/>
              </w:rPr>
              <w:t>___________________________</w:t>
            </w:r>
          </w:p>
          <w:p w:rsidR="004C2997" w:rsidRPr="000A78F9" w:rsidRDefault="004C2997" w:rsidP="008C0755">
            <w:pPr>
              <w:ind w:right="318"/>
              <w:jc w:val="center"/>
              <w:rPr>
                <w:rFonts w:ascii="Calibri" w:hAnsi="Calibri"/>
              </w:rPr>
            </w:pPr>
            <w:r>
              <w:rPr>
                <w:rFonts w:ascii="Calibri" w:hAnsi="Calibri"/>
              </w:rPr>
              <w:t>(</w:t>
            </w:r>
            <w:r>
              <w:rPr>
                <w:rFonts w:ascii="Calibri" w:hAnsi="Calibri"/>
                <w:lang w:val="en-GB"/>
              </w:rPr>
              <w:t>signature and stamp</w:t>
            </w:r>
            <w:r w:rsidRPr="000A78F9">
              <w:rPr>
                <w:rFonts w:ascii="Calibri" w:hAnsi="Calibri"/>
              </w:rPr>
              <w:t>)</w:t>
            </w:r>
            <w:r w:rsidRPr="000A78F9">
              <w:rPr>
                <w:rFonts w:ascii="Calibri" w:hAnsi="Calibri"/>
                <w:i/>
              </w:rPr>
              <w:t xml:space="preserve"> </w:t>
            </w:r>
          </w:p>
        </w:tc>
      </w:tr>
      <w:tr w:rsidR="004C2997" w:rsidRPr="000A78F9" w:rsidTr="008C0755">
        <w:trPr>
          <w:jc w:val="center"/>
        </w:trPr>
        <w:tc>
          <w:tcPr>
            <w:tcW w:w="4261" w:type="dxa"/>
          </w:tcPr>
          <w:p w:rsidR="004C2997" w:rsidRDefault="004C2997" w:rsidP="008C0755">
            <w:pPr>
              <w:ind w:right="318"/>
              <w:rPr>
                <w:rFonts w:ascii="Calibri" w:hAnsi="Calibri"/>
                <w:lang w:val="en-GB"/>
              </w:rPr>
            </w:pPr>
          </w:p>
        </w:tc>
        <w:tc>
          <w:tcPr>
            <w:tcW w:w="4261" w:type="dxa"/>
          </w:tcPr>
          <w:p w:rsidR="004C2997" w:rsidRDefault="004C2997" w:rsidP="008C0755">
            <w:pPr>
              <w:ind w:right="318"/>
              <w:jc w:val="center"/>
              <w:rPr>
                <w:rFonts w:ascii="Calibri" w:hAnsi="Calibri"/>
                <w:lang w:val="en-GB"/>
              </w:rPr>
            </w:pPr>
          </w:p>
        </w:tc>
      </w:tr>
    </w:tbl>
    <w:p w:rsidR="004C2997" w:rsidRPr="000A78F9" w:rsidRDefault="004C2997" w:rsidP="004C2997">
      <w:pPr>
        <w:ind w:right="318"/>
        <w:jc w:val="both"/>
        <w:rPr>
          <w:rFonts w:ascii="Calibri" w:hAnsi="Calibri"/>
          <w:sz w:val="20"/>
          <w:szCs w:val="20"/>
        </w:rPr>
      </w:pPr>
    </w:p>
    <w:p w:rsidR="004C2997" w:rsidRPr="000A78F9" w:rsidRDefault="004C2997" w:rsidP="004C2997">
      <w:pPr>
        <w:ind w:right="318"/>
        <w:jc w:val="both"/>
        <w:rPr>
          <w:rFonts w:ascii="Calibri" w:hAnsi="Calibri"/>
          <w:sz w:val="20"/>
          <w:szCs w:val="20"/>
        </w:rPr>
      </w:pPr>
    </w:p>
    <w:p w:rsidR="004C2997" w:rsidRDefault="004C2997" w:rsidP="004C2997"/>
    <w:p w:rsidR="00DF2D6C" w:rsidRPr="00734FE1" w:rsidRDefault="00DF2D6C" w:rsidP="00386BFA">
      <w:pPr>
        <w:tabs>
          <w:tab w:val="left" w:pos="4128"/>
        </w:tabs>
        <w:jc w:val="both"/>
        <w:rPr>
          <w:rFonts w:cstheme="minorHAnsi"/>
          <w:lang w:val="mk-MK"/>
        </w:rPr>
      </w:pPr>
    </w:p>
    <w:sectPr w:rsidR="00DF2D6C" w:rsidRPr="00734FE1" w:rsidSect="00DA1A9A">
      <w:headerReference w:type="default" r:id="rId10"/>
      <w:footerReference w:type="default" r:id="rId11"/>
      <w:pgSz w:w="12240" w:h="15840"/>
      <w:pgMar w:top="1440" w:right="1440" w:bottom="1440" w:left="1260" w:header="708" w:footer="1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D2A" w:rsidRDefault="00622D2A" w:rsidP="00451DAA">
      <w:pPr>
        <w:spacing w:after="0" w:line="240" w:lineRule="auto"/>
      </w:pPr>
      <w:r>
        <w:separator/>
      </w:r>
    </w:p>
  </w:endnote>
  <w:endnote w:type="continuationSeparator" w:id="0">
    <w:p w:rsidR="00622D2A" w:rsidRDefault="00622D2A" w:rsidP="00451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AA" w:rsidRDefault="00451DAA">
    <w:pPr>
      <w:pStyle w:val="Footer"/>
    </w:pPr>
    <w:r>
      <w:rPr>
        <w:noProof/>
        <w:lang w:val="en-GB"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-190500</wp:posOffset>
          </wp:positionV>
          <wp:extent cx="6537226" cy="14302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note_A4_Vertical _Iced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37226" cy="143028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D2A" w:rsidRDefault="00622D2A" w:rsidP="00451DAA">
      <w:pPr>
        <w:spacing w:after="0" w:line="240" w:lineRule="auto"/>
      </w:pPr>
      <w:r>
        <w:separator/>
      </w:r>
    </w:p>
  </w:footnote>
  <w:footnote w:type="continuationSeparator" w:id="0">
    <w:p w:rsidR="00622D2A" w:rsidRDefault="00622D2A" w:rsidP="00451D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AA" w:rsidRDefault="00451DAA">
    <w:pPr>
      <w:pStyle w:val="Header"/>
    </w:pPr>
    <w:r>
      <w:rPr>
        <w:noProof/>
        <w:lang w:val="en-GB" w:eastAsia="en-GB"/>
      </w:rPr>
      <w:drawing>
        <wp:anchor distT="0" distB="0" distL="114300" distR="114300" simplePos="0" relativeHeight="251661312" behindDoc="1" locked="0" layoutInCell="1" allowOverlap="1">
          <wp:simplePos x="0" y="0"/>
          <wp:positionH relativeFrom="column">
            <wp:posOffset>3860800</wp:posOffset>
          </wp:positionH>
          <wp:positionV relativeFrom="paragraph">
            <wp:posOffset>-165735</wp:posOffset>
          </wp:positionV>
          <wp:extent cx="2249712" cy="62048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EDA vector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9712" cy="6204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F65"/>
    <w:multiLevelType w:val="hybridMultilevel"/>
    <w:tmpl w:val="2A28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57DCF"/>
    <w:multiLevelType w:val="hybridMultilevel"/>
    <w:tmpl w:val="7AB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4587A"/>
    <w:multiLevelType w:val="hybridMultilevel"/>
    <w:tmpl w:val="24867A06"/>
    <w:lvl w:ilvl="0" w:tplc="AA60D6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74E3A"/>
    <w:multiLevelType w:val="hybridMultilevel"/>
    <w:tmpl w:val="770C86CC"/>
    <w:lvl w:ilvl="0" w:tplc="8D6283C4">
      <w:start w:val="9"/>
      <w:numFmt w:val="bullet"/>
      <w:lvlText w:val="-"/>
      <w:lvlJc w:val="left"/>
      <w:pPr>
        <w:ind w:left="1600" w:hanging="360"/>
      </w:pPr>
      <w:rPr>
        <w:rFonts w:ascii="Calibri" w:eastAsia="Times New Roman" w:hAnsi="Calibri" w:cs="Calibri" w:hint="default"/>
      </w:rPr>
    </w:lvl>
    <w:lvl w:ilvl="1" w:tplc="042F0003" w:tentative="1">
      <w:start w:val="1"/>
      <w:numFmt w:val="bullet"/>
      <w:lvlText w:val="o"/>
      <w:lvlJc w:val="left"/>
      <w:pPr>
        <w:ind w:left="2320" w:hanging="360"/>
      </w:pPr>
      <w:rPr>
        <w:rFonts w:ascii="Courier New" w:hAnsi="Courier New" w:cs="Courier New" w:hint="default"/>
      </w:rPr>
    </w:lvl>
    <w:lvl w:ilvl="2" w:tplc="042F0005" w:tentative="1">
      <w:start w:val="1"/>
      <w:numFmt w:val="bullet"/>
      <w:lvlText w:val=""/>
      <w:lvlJc w:val="left"/>
      <w:pPr>
        <w:ind w:left="3040" w:hanging="360"/>
      </w:pPr>
      <w:rPr>
        <w:rFonts w:ascii="Wingdings" w:hAnsi="Wingdings" w:hint="default"/>
      </w:rPr>
    </w:lvl>
    <w:lvl w:ilvl="3" w:tplc="042F0001" w:tentative="1">
      <w:start w:val="1"/>
      <w:numFmt w:val="bullet"/>
      <w:lvlText w:val=""/>
      <w:lvlJc w:val="left"/>
      <w:pPr>
        <w:ind w:left="3760" w:hanging="360"/>
      </w:pPr>
      <w:rPr>
        <w:rFonts w:ascii="Symbol" w:hAnsi="Symbol" w:hint="default"/>
      </w:rPr>
    </w:lvl>
    <w:lvl w:ilvl="4" w:tplc="042F0003" w:tentative="1">
      <w:start w:val="1"/>
      <w:numFmt w:val="bullet"/>
      <w:lvlText w:val="o"/>
      <w:lvlJc w:val="left"/>
      <w:pPr>
        <w:ind w:left="4480" w:hanging="360"/>
      </w:pPr>
      <w:rPr>
        <w:rFonts w:ascii="Courier New" w:hAnsi="Courier New" w:cs="Courier New" w:hint="default"/>
      </w:rPr>
    </w:lvl>
    <w:lvl w:ilvl="5" w:tplc="042F0005" w:tentative="1">
      <w:start w:val="1"/>
      <w:numFmt w:val="bullet"/>
      <w:lvlText w:val=""/>
      <w:lvlJc w:val="left"/>
      <w:pPr>
        <w:ind w:left="5200" w:hanging="360"/>
      </w:pPr>
      <w:rPr>
        <w:rFonts w:ascii="Wingdings" w:hAnsi="Wingdings" w:hint="default"/>
      </w:rPr>
    </w:lvl>
    <w:lvl w:ilvl="6" w:tplc="042F0001" w:tentative="1">
      <w:start w:val="1"/>
      <w:numFmt w:val="bullet"/>
      <w:lvlText w:val=""/>
      <w:lvlJc w:val="left"/>
      <w:pPr>
        <w:ind w:left="5920" w:hanging="360"/>
      </w:pPr>
      <w:rPr>
        <w:rFonts w:ascii="Symbol" w:hAnsi="Symbol" w:hint="default"/>
      </w:rPr>
    </w:lvl>
    <w:lvl w:ilvl="7" w:tplc="042F0003" w:tentative="1">
      <w:start w:val="1"/>
      <w:numFmt w:val="bullet"/>
      <w:lvlText w:val="o"/>
      <w:lvlJc w:val="left"/>
      <w:pPr>
        <w:ind w:left="6640" w:hanging="360"/>
      </w:pPr>
      <w:rPr>
        <w:rFonts w:ascii="Courier New" w:hAnsi="Courier New" w:cs="Courier New" w:hint="default"/>
      </w:rPr>
    </w:lvl>
    <w:lvl w:ilvl="8" w:tplc="042F0005" w:tentative="1">
      <w:start w:val="1"/>
      <w:numFmt w:val="bullet"/>
      <w:lvlText w:val=""/>
      <w:lvlJc w:val="left"/>
      <w:pPr>
        <w:ind w:left="7360" w:hanging="360"/>
      </w:pPr>
      <w:rPr>
        <w:rFonts w:ascii="Wingdings" w:hAnsi="Wingdings" w:hint="default"/>
      </w:rPr>
    </w:lvl>
  </w:abstractNum>
  <w:abstractNum w:abstractNumId="4">
    <w:nsid w:val="15382BD8"/>
    <w:multiLevelType w:val="hybridMultilevel"/>
    <w:tmpl w:val="668C8CF8"/>
    <w:lvl w:ilvl="0" w:tplc="D54A3A5A">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C6958"/>
    <w:multiLevelType w:val="hybridMultilevel"/>
    <w:tmpl w:val="4978C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517045"/>
    <w:multiLevelType w:val="hybridMultilevel"/>
    <w:tmpl w:val="5E30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4454D"/>
    <w:multiLevelType w:val="hybridMultilevel"/>
    <w:tmpl w:val="5E30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B1765"/>
    <w:multiLevelType w:val="hybridMultilevel"/>
    <w:tmpl w:val="EB3AB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47308A"/>
    <w:multiLevelType w:val="hybridMultilevel"/>
    <w:tmpl w:val="CAA6C77C"/>
    <w:lvl w:ilvl="0" w:tplc="BF0CE3C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84042"/>
    <w:multiLevelType w:val="hybridMultilevel"/>
    <w:tmpl w:val="9488D2F2"/>
    <w:lvl w:ilvl="0" w:tplc="D54A3A5A">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E25B6"/>
    <w:multiLevelType w:val="hybridMultilevel"/>
    <w:tmpl w:val="A404C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9013DCC"/>
    <w:multiLevelType w:val="hybridMultilevel"/>
    <w:tmpl w:val="16CE5478"/>
    <w:lvl w:ilvl="0" w:tplc="65D06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41038"/>
    <w:multiLevelType w:val="hybridMultilevel"/>
    <w:tmpl w:val="2408BA44"/>
    <w:lvl w:ilvl="0" w:tplc="4DDC3FF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947BF6"/>
    <w:multiLevelType w:val="hybridMultilevel"/>
    <w:tmpl w:val="2E4A1D4E"/>
    <w:lvl w:ilvl="0" w:tplc="3D02FD9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6B5562"/>
    <w:multiLevelType w:val="hybridMultilevel"/>
    <w:tmpl w:val="2280D75E"/>
    <w:lvl w:ilvl="0" w:tplc="BD88AB4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D7B16"/>
    <w:multiLevelType w:val="hybridMultilevel"/>
    <w:tmpl w:val="8F7C35C2"/>
    <w:lvl w:ilvl="0" w:tplc="D54A3A5A">
      <w:start w:val="6"/>
      <w:numFmt w:val="bullet"/>
      <w:lvlText w:val="-"/>
      <w:lvlJc w:val="left"/>
      <w:pPr>
        <w:ind w:left="720" w:hanging="360"/>
      </w:pPr>
      <w:rPr>
        <w:rFonts w:ascii="Arial" w:eastAsia="Times New Roman" w:hAnsi="Arial" w:hint="default"/>
      </w:rPr>
    </w:lvl>
    <w:lvl w:ilvl="1" w:tplc="D54A3A5A">
      <w:start w:val="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62904"/>
    <w:multiLevelType w:val="hybridMultilevel"/>
    <w:tmpl w:val="3D520762"/>
    <w:lvl w:ilvl="0" w:tplc="05B8E81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106F81"/>
    <w:multiLevelType w:val="hybridMultilevel"/>
    <w:tmpl w:val="8D707FB0"/>
    <w:lvl w:ilvl="0" w:tplc="04090001">
      <w:start w:val="1"/>
      <w:numFmt w:val="bullet"/>
      <w:lvlText w:val=""/>
      <w:lvlJc w:val="left"/>
      <w:pPr>
        <w:ind w:left="720" w:hanging="360"/>
      </w:pPr>
      <w:rPr>
        <w:rFonts w:ascii="Symbol" w:hAnsi="Symbol" w:hint="default"/>
      </w:rPr>
    </w:lvl>
    <w:lvl w:ilvl="1" w:tplc="F09C4BE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027DF"/>
    <w:multiLevelType w:val="hybridMultilevel"/>
    <w:tmpl w:val="01162634"/>
    <w:lvl w:ilvl="0" w:tplc="86C8371E">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364FDD"/>
    <w:multiLevelType w:val="hybridMultilevel"/>
    <w:tmpl w:val="17A22B74"/>
    <w:lvl w:ilvl="0" w:tplc="B7CE10B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D32EAF"/>
    <w:multiLevelType w:val="hybridMultilevel"/>
    <w:tmpl w:val="7ACC8098"/>
    <w:lvl w:ilvl="0" w:tplc="D54A3A5A">
      <w:start w:val="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8A2DC8"/>
    <w:multiLevelType w:val="hybridMultilevel"/>
    <w:tmpl w:val="7B920396"/>
    <w:lvl w:ilvl="0" w:tplc="B7CE10B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0220C6"/>
    <w:multiLevelType w:val="hybridMultilevel"/>
    <w:tmpl w:val="062280B4"/>
    <w:lvl w:ilvl="0" w:tplc="BFD4AEB8">
      <w:start w:val="1"/>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3D4206"/>
    <w:multiLevelType w:val="multilevel"/>
    <w:tmpl w:val="0409001F"/>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F1C0B81"/>
    <w:multiLevelType w:val="hybridMultilevel"/>
    <w:tmpl w:val="9D82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54616C"/>
    <w:multiLevelType w:val="hybridMultilevel"/>
    <w:tmpl w:val="820EE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5278CC"/>
    <w:multiLevelType w:val="hybridMultilevel"/>
    <w:tmpl w:val="A29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17662"/>
    <w:multiLevelType w:val="hybridMultilevel"/>
    <w:tmpl w:val="FAAE895E"/>
    <w:lvl w:ilvl="0" w:tplc="D54A3A5A">
      <w:start w:val="6"/>
      <w:numFmt w:val="bullet"/>
      <w:lvlText w:val="-"/>
      <w:lvlJc w:val="left"/>
      <w:pPr>
        <w:ind w:left="750" w:hanging="360"/>
      </w:pPr>
      <w:rPr>
        <w:rFonts w:ascii="Arial" w:eastAsia="Times New Roman" w:hAnsi="Aria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9">
    <w:nsid w:val="64251A3D"/>
    <w:multiLevelType w:val="hybridMultilevel"/>
    <w:tmpl w:val="CD827E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5762FB"/>
    <w:multiLevelType w:val="hybridMultilevel"/>
    <w:tmpl w:val="5F06D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C064EE"/>
    <w:multiLevelType w:val="hybridMultilevel"/>
    <w:tmpl w:val="AF4E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8"/>
  </w:num>
  <w:num w:numId="4">
    <w:abstractNumId w:val="1"/>
  </w:num>
  <w:num w:numId="5">
    <w:abstractNumId w:val="9"/>
  </w:num>
  <w:num w:numId="6">
    <w:abstractNumId w:val="31"/>
  </w:num>
  <w:num w:numId="7">
    <w:abstractNumId w:val="12"/>
  </w:num>
  <w:num w:numId="8">
    <w:abstractNumId w:val="25"/>
  </w:num>
  <w:num w:numId="9">
    <w:abstractNumId w:val="2"/>
  </w:num>
  <w:num w:numId="10">
    <w:abstractNumId w:val="19"/>
  </w:num>
  <w:num w:numId="11">
    <w:abstractNumId w:val="21"/>
  </w:num>
  <w:num w:numId="12">
    <w:abstractNumId w:val="16"/>
  </w:num>
  <w:num w:numId="13">
    <w:abstractNumId w:val="4"/>
  </w:num>
  <w:num w:numId="14">
    <w:abstractNumId w:val="14"/>
  </w:num>
  <w:num w:numId="15">
    <w:abstractNumId w:val="30"/>
  </w:num>
  <w:num w:numId="16">
    <w:abstractNumId w:val="5"/>
  </w:num>
  <w:num w:numId="17">
    <w:abstractNumId w:val="26"/>
  </w:num>
  <w:num w:numId="18">
    <w:abstractNumId w:val="13"/>
  </w:num>
  <w:num w:numId="19">
    <w:abstractNumId w:val="23"/>
  </w:num>
  <w:num w:numId="20">
    <w:abstractNumId w:val="6"/>
  </w:num>
  <w:num w:numId="21">
    <w:abstractNumId w:val="8"/>
  </w:num>
  <w:num w:numId="22">
    <w:abstractNumId w:val="7"/>
  </w:num>
  <w:num w:numId="23">
    <w:abstractNumId w:val="22"/>
  </w:num>
  <w:num w:numId="24">
    <w:abstractNumId w:val="24"/>
  </w:num>
  <w:num w:numId="25">
    <w:abstractNumId w:val="17"/>
  </w:num>
  <w:num w:numId="26">
    <w:abstractNumId w:val="20"/>
  </w:num>
  <w:num w:numId="27">
    <w:abstractNumId w:val="15"/>
  </w:num>
  <w:num w:numId="28">
    <w:abstractNumId w:val="3"/>
  </w:num>
  <w:num w:numId="29">
    <w:abstractNumId w:val="10"/>
  </w:num>
  <w:num w:numId="30">
    <w:abstractNumId w:val="28"/>
  </w:num>
  <w:num w:numId="31">
    <w:abstractNumId w:val="29"/>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B9690E"/>
    <w:rsid w:val="00001782"/>
    <w:rsid w:val="00010B92"/>
    <w:rsid w:val="0001760F"/>
    <w:rsid w:val="00065D47"/>
    <w:rsid w:val="00094D25"/>
    <w:rsid w:val="000A1C30"/>
    <w:rsid w:val="000B02C9"/>
    <w:rsid w:val="000F1D8B"/>
    <w:rsid w:val="000F299F"/>
    <w:rsid w:val="000F2AC6"/>
    <w:rsid w:val="00106C12"/>
    <w:rsid w:val="00112EA3"/>
    <w:rsid w:val="00117779"/>
    <w:rsid w:val="001278E1"/>
    <w:rsid w:val="00165A24"/>
    <w:rsid w:val="00176124"/>
    <w:rsid w:val="00194313"/>
    <w:rsid w:val="001A3316"/>
    <w:rsid w:val="001D2E34"/>
    <w:rsid w:val="001E6D3B"/>
    <w:rsid w:val="001F0AFB"/>
    <w:rsid w:val="002018FB"/>
    <w:rsid w:val="00204591"/>
    <w:rsid w:val="00207B6F"/>
    <w:rsid w:val="00211407"/>
    <w:rsid w:val="00237B5B"/>
    <w:rsid w:val="0024053B"/>
    <w:rsid w:val="002410BA"/>
    <w:rsid w:val="00263525"/>
    <w:rsid w:val="0027019C"/>
    <w:rsid w:val="00292B5C"/>
    <w:rsid w:val="002A563D"/>
    <w:rsid w:val="002C58CB"/>
    <w:rsid w:val="00332389"/>
    <w:rsid w:val="00354B57"/>
    <w:rsid w:val="00362485"/>
    <w:rsid w:val="00367A13"/>
    <w:rsid w:val="00383286"/>
    <w:rsid w:val="00386BFA"/>
    <w:rsid w:val="003B1572"/>
    <w:rsid w:val="003C04B4"/>
    <w:rsid w:val="003C1F0D"/>
    <w:rsid w:val="003C6CEE"/>
    <w:rsid w:val="003E34F3"/>
    <w:rsid w:val="00414800"/>
    <w:rsid w:val="00417A7D"/>
    <w:rsid w:val="00424C98"/>
    <w:rsid w:val="004430C8"/>
    <w:rsid w:val="00444ADB"/>
    <w:rsid w:val="00451DAA"/>
    <w:rsid w:val="004538A1"/>
    <w:rsid w:val="00456E75"/>
    <w:rsid w:val="004770E3"/>
    <w:rsid w:val="0048690D"/>
    <w:rsid w:val="00495230"/>
    <w:rsid w:val="004B569A"/>
    <w:rsid w:val="004C2997"/>
    <w:rsid w:val="004E7170"/>
    <w:rsid w:val="005225E5"/>
    <w:rsid w:val="005560C4"/>
    <w:rsid w:val="00563113"/>
    <w:rsid w:val="0056352E"/>
    <w:rsid w:val="00577BFC"/>
    <w:rsid w:val="00580CA9"/>
    <w:rsid w:val="005902DB"/>
    <w:rsid w:val="00590A30"/>
    <w:rsid w:val="005B3BA6"/>
    <w:rsid w:val="005B4B1B"/>
    <w:rsid w:val="00621BC0"/>
    <w:rsid w:val="00622D2A"/>
    <w:rsid w:val="00680C27"/>
    <w:rsid w:val="00695086"/>
    <w:rsid w:val="006A78A5"/>
    <w:rsid w:val="006B3D9F"/>
    <w:rsid w:val="007039B7"/>
    <w:rsid w:val="00704A33"/>
    <w:rsid w:val="00706CD7"/>
    <w:rsid w:val="00734FE1"/>
    <w:rsid w:val="007521C5"/>
    <w:rsid w:val="00755454"/>
    <w:rsid w:val="00767C94"/>
    <w:rsid w:val="007844C5"/>
    <w:rsid w:val="00797448"/>
    <w:rsid w:val="007C1C54"/>
    <w:rsid w:val="007C626F"/>
    <w:rsid w:val="007F38EA"/>
    <w:rsid w:val="007F450E"/>
    <w:rsid w:val="007F6B8D"/>
    <w:rsid w:val="00895D28"/>
    <w:rsid w:val="008A3CD9"/>
    <w:rsid w:val="008E44AF"/>
    <w:rsid w:val="008E4A31"/>
    <w:rsid w:val="00901B49"/>
    <w:rsid w:val="009529B2"/>
    <w:rsid w:val="009703DE"/>
    <w:rsid w:val="009A3A5B"/>
    <w:rsid w:val="009D527B"/>
    <w:rsid w:val="009F0CEE"/>
    <w:rsid w:val="00A1154C"/>
    <w:rsid w:val="00A16E23"/>
    <w:rsid w:val="00A23693"/>
    <w:rsid w:val="00A35FF2"/>
    <w:rsid w:val="00A53030"/>
    <w:rsid w:val="00A53B0E"/>
    <w:rsid w:val="00A63D40"/>
    <w:rsid w:val="00A83496"/>
    <w:rsid w:val="00AA1589"/>
    <w:rsid w:val="00AA55D8"/>
    <w:rsid w:val="00AA7C4D"/>
    <w:rsid w:val="00AC4366"/>
    <w:rsid w:val="00AC68F4"/>
    <w:rsid w:val="00AE2EAA"/>
    <w:rsid w:val="00AE5B92"/>
    <w:rsid w:val="00B12F63"/>
    <w:rsid w:val="00B30A16"/>
    <w:rsid w:val="00B41436"/>
    <w:rsid w:val="00B549C0"/>
    <w:rsid w:val="00B579F4"/>
    <w:rsid w:val="00B71264"/>
    <w:rsid w:val="00B83DA3"/>
    <w:rsid w:val="00B86ED3"/>
    <w:rsid w:val="00B90177"/>
    <w:rsid w:val="00B93247"/>
    <w:rsid w:val="00B9690E"/>
    <w:rsid w:val="00BB067B"/>
    <w:rsid w:val="00BC0C7E"/>
    <w:rsid w:val="00BC1CB0"/>
    <w:rsid w:val="00C01E1D"/>
    <w:rsid w:val="00C12E10"/>
    <w:rsid w:val="00C222DC"/>
    <w:rsid w:val="00C33D15"/>
    <w:rsid w:val="00C5385D"/>
    <w:rsid w:val="00C55CF6"/>
    <w:rsid w:val="00C640DC"/>
    <w:rsid w:val="00C7175A"/>
    <w:rsid w:val="00C85FE3"/>
    <w:rsid w:val="00C934C6"/>
    <w:rsid w:val="00CA7426"/>
    <w:rsid w:val="00CD5A97"/>
    <w:rsid w:val="00CD7AE1"/>
    <w:rsid w:val="00CE6B38"/>
    <w:rsid w:val="00CE6E3C"/>
    <w:rsid w:val="00D177D6"/>
    <w:rsid w:val="00D431DB"/>
    <w:rsid w:val="00DA1A9A"/>
    <w:rsid w:val="00DD148F"/>
    <w:rsid w:val="00DE33B1"/>
    <w:rsid w:val="00DE6214"/>
    <w:rsid w:val="00DF2D6C"/>
    <w:rsid w:val="00E46402"/>
    <w:rsid w:val="00EB1C92"/>
    <w:rsid w:val="00EB7122"/>
    <w:rsid w:val="00EC4D2A"/>
    <w:rsid w:val="00F4406F"/>
    <w:rsid w:val="00F45CC9"/>
    <w:rsid w:val="00F60F15"/>
    <w:rsid w:val="00F84D68"/>
    <w:rsid w:val="00F853CD"/>
    <w:rsid w:val="00F94063"/>
    <w:rsid w:val="00FC41BE"/>
    <w:rsid w:val="00FC459A"/>
    <w:rsid w:val="00FE53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1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4800"/>
    <w:rPr>
      <w:sz w:val="16"/>
      <w:szCs w:val="16"/>
    </w:rPr>
  </w:style>
  <w:style w:type="paragraph" w:styleId="CommentText">
    <w:name w:val="annotation text"/>
    <w:basedOn w:val="Normal"/>
    <w:link w:val="CommentTextChar"/>
    <w:uiPriority w:val="99"/>
    <w:semiHidden/>
    <w:unhideWhenUsed/>
    <w:rsid w:val="00414800"/>
    <w:pPr>
      <w:spacing w:line="240" w:lineRule="auto"/>
    </w:pPr>
    <w:rPr>
      <w:sz w:val="20"/>
      <w:szCs w:val="20"/>
    </w:rPr>
  </w:style>
  <w:style w:type="character" w:customStyle="1" w:styleId="CommentTextChar">
    <w:name w:val="Comment Text Char"/>
    <w:basedOn w:val="DefaultParagraphFont"/>
    <w:link w:val="CommentText"/>
    <w:uiPriority w:val="99"/>
    <w:semiHidden/>
    <w:rsid w:val="00414800"/>
    <w:rPr>
      <w:sz w:val="20"/>
      <w:szCs w:val="20"/>
    </w:rPr>
  </w:style>
  <w:style w:type="paragraph" w:styleId="CommentSubject">
    <w:name w:val="annotation subject"/>
    <w:basedOn w:val="CommentText"/>
    <w:next w:val="CommentText"/>
    <w:link w:val="CommentSubjectChar"/>
    <w:uiPriority w:val="99"/>
    <w:semiHidden/>
    <w:unhideWhenUsed/>
    <w:rsid w:val="00414800"/>
    <w:rPr>
      <w:b/>
      <w:bCs/>
    </w:rPr>
  </w:style>
  <w:style w:type="character" w:customStyle="1" w:styleId="CommentSubjectChar">
    <w:name w:val="Comment Subject Char"/>
    <w:basedOn w:val="CommentTextChar"/>
    <w:link w:val="CommentSubject"/>
    <w:uiPriority w:val="99"/>
    <w:semiHidden/>
    <w:rsid w:val="00414800"/>
    <w:rPr>
      <w:b/>
      <w:bCs/>
      <w:sz w:val="20"/>
      <w:szCs w:val="20"/>
    </w:rPr>
  </w:style>
  <w:style w:type="paragraph" w:styleId="BalloonText">
    <w:name w:val="Balloon Text"/>
    <w:basedOn w:val="Normal"/>
    <w:link w:val="BalloonTextChar"/>
    <w:uiPriority w:val="99"/>
    <w:semiHidden/>
    <w:unhideWhenUsed/>
    <w:rsid w:val="0041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800"/>
    <w:rPr>
      <w:rFonts w:ascii="Segoe UI" w:hAnsi="Segoe UI" w:cs="Segoe UI"/>
      <w:sz w:val="18"/>
      <w:szCs w:val="18"/>
    </w:rPr>
  </w:style>
  <w:style w:type="paragraph" w:styleId="ListParagraph">
    <w:name w:val="List Paragraph"/>
    <w:basedOn w:val="Normal"/>
    <w:uiPriority w:val="34"/>
    <w:qFormat/>
    <w:rsid w:val="007039B7"/>
    <w:pPr>
      <w:ind w:left="720"/>
      <w:contextualSpacing/>
    </w:pPr>
  </w:style>
  <w:style w:type="character" w:styleId="Hyperlink">
    <w:name w:val="Hyperlink"/>
    <w:basedOn w:val="DefaultParagraphFont"/>
    <w:uiPriority w:val="99"/>
    <w:unhideWhenUsed/>
    <w:rsid w:val="00C33D15"/>
    <w:rPr>
      <w:color w:val="0563C1" w:themeColor="hyperlink"/>
      <w:u w:val="single"/>
    </w:rPr>
  </w:style>
  <w:style w:type="table" w:styleId="TableGrid">
    <w:name w:val="Table Grid"/>
    <w:basedOn w:val="TableNormal"/>
    <w:uiPriority w:val="59"/>
    <w:rsid w:val="00C55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5C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80C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1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DAA"/>
  </w:style>
  <w:style w:type="paragraph" w:styleId="Footer">
    <w:name w:val="footer"/>
    <w:basedOn w:val="Normal"/>
    <w:link w:val="FooterChar"/>
    <w:uiPriority w:val="99"/>
    <w:unhideWhenUsed/>
    <w:rsid w:val="00451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DAA"/>
  </w:style>
  <w:style w:type="paragraph" w:styleId="BodyText3">
    <w:name w:val="Body Text 3"/>
    <w:basedOn w:val="Normal"/>
    <w:link w:val="BodyText3Char"/>
    <w:rsid w:val="00386BFA"/>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386BFA"/>
    <w:rPr>
      <w:rFonts w:ascii="Times New Roman" w:eastAsia="Times New Roman" w:hAnsi="Times New Roman" w:cs="Times New Roman"/>
      <w:sz w:val="16"/>
      <w:szCs w:val="16"/>
      <w:lang w:val="en-GB" w:eastAsia="en-GB"/>
    </w:rPr>
  </w:style>
  <w:style w:type="paragraph" w:styleId="BodyTextIndent">
    <w:name w:val="Body Text Indent"/>
    <w:basedOn w:val="Normal"/>
    <w:link w:val="BodyTextIndentChar"/>
    <w:uiPriority w:val="99"/>
    <w:semiHidden/>
    <w:unhideWhenUsed/>
    <w:rsid w:val="002018FB"/>
    <w:pPr>
      <w:spacing w:after="120"/>
      <w:ind w:left="360"/>
    </w:pPr>
  </w:style>
  <w:style w:type="character" w:customStyle="1" w:styleId="BodyTextIndentChar">
    <w:name w:val="Body Text Indent Char"/>
    <w:basedOn w:val="DefaultParagraphFont"/>
    <w:link w:val="BodyTextIndent"/>
    <w:uiPriority w:val="99"/>
    <w:semiHidden/>
    <w:rsid w:val="002018FB"/>
  </w:style>
  <w:style w:type="paragraph" w:styleId="BodyText">
    <w:name w:val="Body Text"/>
    <w:basedOn w:val="Normal"/>
    <w:link w:val="BodyTextChar"/>
    <w:uiPriority w:val="99"/>
    <w:semiHidden/>
    <w:unhideWhenUsed/>
    <w:rsid w:val="00DF2D6C"/>
    <w:pPr>
      <w:spacing w:after="120"/>
    </w:pPr>
  </w:style>
  <w:style w:type="character" w:customStyle="1" w:styleId="BodyTextChar">
    <w:name w:val="Body Text Char"/>
    <w:basedOn w:val="DefaultParagraphFont"/>
    <w:link w:val="BodyText"/>
    <w:uiPriority w:val="99"/>
    <w:semiHidden/>
    <w:rsid w:val="00DF2D6C"/>
  </w:style>
  <w:style w:type="paragraph" w:customStyle="1" w:styleId="paragraph">
    <w:name w:val="paragraph"/>
    <w:basedOn w:val="Normal"/>
    <w:rsid w:val="006A7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78A5"/>
  </w:style>
  <w:style w:type="character" w:customStyle="1" w:styleId="eop">
    <w:name w:val="eop"/>
    <w:basedOn w:val="DefaultParagraphFont"/>
    <w:rsid w:val="006A78A5"/>
  </w:style>
</w:styles>
</file>

<file path=word/webSettings.xml><?xml version="1.0" encoding="utf-8"?>
<w:webSettings xmlns:r="http://schemas.openxmlformats.org/officeDocument/2006/relationships" xmlns:w="http://schemas.openxmlformats.org/wordprocessingml/2006/main">
  <w:divs>
    <w:div w:id="544220138">
      <w:bodyDiv w:val="1"/>
      <w:marLeft w:val="0"/>
      <w:marRight w:val="0"/>
      <w:marTop w:val="0"/>
      <w:marBottom w:val="0"/>
      <w:divBdr>
        <w:top w:val="none" w:sz="0" w:space="0" w:color="auto"/>
        <w:left w:val="none" w:sz="0" w:space="0" w:color="auto"/>
        <w:bottom w:val="none" w:sz="0" w:space="0" w:color="auto"/>
        <w:right w:val="none" w:sz="0" w:space="0" w:color="auto"/>
      </w:divBdr>
      <w:divsChild>
        <w:div w:id="1180241032">
          <w:marLeft w:val="0"/>
          <w:marRight w:val="0"/>
          <w:marTop w:val="0"/>
          <w:marBottom w:val="0"/>
          <w:divBdr>
            <w:top w:val="none" w:sz="0" w:space="0" w:color="auto"/>
            <w:left w:val="none" w:sz="0" w:space="0" w:color="auto"/>
            <w:bottom w:val="none" w:sz="0" w:space="0" w:color="auto"/>
            <w:right w:val="none" w:sz="0" w:space="0" w:color="auto"/>
          </w:divBdr>
          <w:divsChild>
            <w:div w:id="19479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4286">
      <w:bodyDiv w:val="1"/>
      <w:marLeft w:val="0"/>
      <w:marRight w:val="0"/>
      <w:marTop w:val="0"/>
      <w:marBottom w:val="0"/>
      <w:divBdr>
        <w:top w:val="none" w:sz="0" w:space="0" w:color="auto"/>
        <w:left w:val="none" w:sz="0" w:space="0" w:color="auto"/>
        <w:bottom w:val="none" w:sz="0" w:space="0" w:color="auto"/>
        <w:right w:val="none" w:sz="0" w:space="0" w:color="auto"/>
      </w:divBdr>
      <w:divsChild>
        <w:div w:id="1835879824">
          <w:marLeft w:val="0"/>
          <w:marRight w:val="0"/>
          <w:marTop w:val="0"/>
          <w:marBottom w:val="0"/>
          <w:divBdr>
            <w:top w:val="none" w:sz="0" w:space="0" w:color="auto"/>
            <w:left w:val="none" w:sz="0" w:space="0" w:color="auto"/>
            <w:bottom w:val="none" w:sz="0" w:space="0" w:color="auto"/>
            <w:right w:val="none" w:sz="0" w:space="0" w:color="auto"/>
          </w:divBdr>
          <w:divsChild>
            <w:div w:id="1532186405">
              <w:marLeft w:val="0"/>
              <w:marRight w:val="0"/>
              <w:marTop w:val="0"/>
              <w:marBottom w:val="0"/>
              <w:divBdr>
                <w:top w:val="none" w:sz="0" w:space="0" w:color="auto"/>
                <w:left w:val="none" w:sz="0" w:space="0" w:color="auto"/>
                <w:bottom w:val="none" w:sz="0" w:space="0" w:color="auto"/>
                <w:right w:val="none" w:sz="0" w:space="0" w:color="auto"/>
              </w:divBdr>
            </w:div>
            <w:div w:id="1464881577">
              <w:marLeft w:val="0"/>
              <w:marRight w:val="0"/>
              <w:marTop w:val="0"/>
              <w:marBottom w:val="0"/>
              <w:divBdr>
                <w:top w:val="none" w:sz="0" w:space="0" w:color="auto"/>
                <w:left w:val="none" w:sz="0" w:space="0" w:color="auto"/>
                <w:bottom w:val="none" w:sz="0" w:space="0" w:color="auto"/>
                <w:right w:val="none" w:sz="0" w:space="0" w:color="auto"/>
              </w:divBdr>
            </w:div>
          </w:divsChild>
        </w:div>
        <w:div w:id="2141413084">
          <w:marLeft w:val="0"/>
          <w:marRight w:val="0"/>
          <w:marTop w:val="0"/>
          <w:marBottom w:val="0"/>
          <w:divBdr>
            <w:top w:val="none" w:sz="0" w:space="0" w:color="auto"/>
            <w:left w:val="none" w:sz="0" w:space="0" w:color="auto"/>
            <w:bottom w:val="none" w:sz="0" w:space="0" w:color="auto"/>
            <w:right w:val="none" w:sz="0" w:space="0" w:color="auto"/>
          </w:divBdr>
          <w:divsChild>
            <w:div w:id="4685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3268">
      <w:bodyDiv w:val="1"/>
      <w:marLeft w:val="0"/>
      <w:marRight w:val="0"/>
      <w:marTop w:val="0"/>
      <w:marBottom w:val="0"/>
      <w:divBdr>
        <w:top w:val="none" w:sz="0" w:space="0" w:color="auto"/>
        <w:left w:val="none" w:sz="0" w:space="0" w:color="auto"/>
        <w:bottom w:val="none" w:sz="0" w:space="0" w:color="auto"/>
        <w:right w:val="none" w:sz="0" w:space="0" w:color="auto"/>
      </w:divBdr>
      <w:divsChild>
        <w:div w:id="1831289134">
          <w:marLeft w:val="0"/>
          <w:marRight w:val="0"/>
          <w:marTop w:val="0"/>
          <w:marBottom w:val="0"/>
          <w:divBdr>
            <w:top w:val="none" w:sz="0" w:space="0" w:color="auto"/>
            <w:left w:val="none" w:sz="0" w:space="0" w:color="auto"/>
            <w:bottom w:val="none" w:sz="0" w:space="0" w:color="auto"/>
            <w:right w:val="none" w:sz="0" w:space="0" w:color="auto"/>
          </w:divBdr>
          <w:divsChild>
            <w:div w:id="9004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6069">
      <w:bodyDiv w:val="1"/>
      <w:marLeft w:val="0"/>
      <w:marRight w:val="0"/>
      <w:marTop w:val="0"/>
      <w:marBottom w:val="0"/>
      <w:divBdr>
        <w:top w:val="none" w:sz="0" w:space="0" w:color="auto"/>
        <w:left w:val="none" w:sz="0" w:space="0" w:color="auto"/>
        <w:bottom w:val="none" w:sz="0" w:space="0" w:color="auto"/>
        <w:right w:val="none" w:sz="0" w:space="0" w:color="auto"/>
      </w:divBdr>
    </w:div>
    <w:div w:id="1363440975">
      <w:bodyDiv w:val="1"/>
      <w:marLeft w:val="0"/>
      <w:marRight w:val="0"/>
      <w:marTop w:val="0"/>
      <w:marBottom w:val="0"/>
      <w:divBdr>
        <w:top w:val="none" w:sz="0" w:space="0" w:color="auto"/>
        <w:left w:val="none" w:sz="0" w:space="0" w:color="auto"/>
        <w:bottom w:val="none" w:sz="0" w:space="0" w:color="auto"/>
        <w:right w:val="none" w:sz="0" w:space="0" w:color="auto"/>
      </w:divBdr>
    </w:div>
    <w:div w:id="1441222157">
      <w:bodyDiv w:val="1"/>
      <w:marLeft w:val="0"/>
      <w:marRight w:val="0"/>
      <w:marTop w:val="0"/>
      <w:marBottom w:val="0"/>
      <w:divBdr>
        <w:top w:val="none" w:sz="0" w:space="0" w:color="auto"/>
        <w:left w:val="none" w:sz="0" w:space="0" w:color="auto"/>
        <w:bottom w:val="none" w:sz="0" w:space="0" w:color="auto"/>
        <w:right w:val="none" w:sz="0" w:space="0" w:color="auto"/>
      </w:divBdr>
      <w:divsChild>
        <w:div w:id="492112819">
          <w:marLeft w:val="0"/>
          <w:marRight w:val="0"/>
          <w:marTop w:val="0"/>
          <w:marBottom w:val="0"/>
          <w:divBdr>
            <w:top w:val="none" w:sz="0" w:space="0" w:color="auto"/>
            <w:left w:val="none" w:sz="0" w:space="0" w:color="auto"/>
            <w:bottom w:val="none" w:sz="0" w:space="0" w:color="auto"/>
            <w:right w:val="none" w:sz="0" w:space="0" w:color="auto"/>
          </w:divBdr>
        </w:div>
      </w:divsChild>
    </w:div>
    <w:div w:id="1448697304">
      <w:bodyDiv w:val="1"/>
      <w:marLeft w:val="0"/>
      <w:marRight w:val="0"/>
      <w:marTop w:val="0"/>
      <w:marBottom w:val="0"/>
      <w:divBdr>
        <w:top w:val="none" w:sz="0" w:space="0" w:color="auto"/>
        <w:left w:val="none" w:sz="0" w:space="0" w:color="auto"/>
        <w:bottom w:val="none" w:sz="0" w:space="0" w:color="auto"/>
        <w:right w:val="none" w:sz="0" w:space="0" w:color="auto"/>
      </w:divBdr>
    </w:div>
    <w:div w:id="1711107378">
      <w:bodyDiv w:val="1"/>
      <w:marLeft w:val="0"/>
      <w:marRight w:val="0"/>
      <w:marTop w:val="0"/>
      <w:marBottom w:val="0"/>
      <w:divBdr>
        <w:top w:val="none" w:sz="0" w:space="0" w:color="auto"/>
        <w:left w:val="none" w:sz="0" w:space="0" w:color="auto"/>
        <w:bottom w:val="none" w:sz="0" w:space="0" w:color="auto"/>
        <w:right w:val="none" w:sz="0" w:space="0" w:color="auto"/>
      </w:divBdr>
      <w:divsChild>
        <w:div w:id="45640489">
          <w:marLeft w:val="0"/>
          <w:marRight w:val="0"/>
          <w:marTop w:val="0"/>
          <w:marBottom w:val="0"/>
          <w:divBdr>
            <w:top w:val="none" w:sz="0" w:space="0" w:color="auto"/>
            <w:left w:val="none" w:sz="0" w:space="0" w:color="auto"/>
            <w:bottom w:val="none" w:sz="0" w:space="0" w:color="auto"/>
            <w:right w:val="none" w:sz="0" w:space="0" w:color="auto"/>
          </w:divBdr>
          <w:divsChild>
            <w:div w:id="149443402">
              <w:marLeft w:val="0"/>
              <w:marRight w:val="0"/>
              <w:marTop w:val="0"/>
              <w:marBottom w:val="0"/>
              <w:divBdr>
                <w:top w:val="none" w:sz="0" w:space="0" w:color="auto"/>
                <w:left w:val="none" w:sz="0" w:space="0" w:color="auto"/>
                <w:bottom w:val="none" w:sz="0" w:space="0" w:color="auto"/>
                <w:right w:val="none" w:sz="0" w:space="0" w:color="auto"/>
              </w:divBdr>
            </w:div>
            <w:div w:id="1368603756">
              <w:marLeft w:val="0"/>
              <w:marRight w:val="0"/>
              <w:marTop w:val="0"/>
              <w:marBottom w:val="0"/>
              <w:divBdr>
                <w:top w:val="none" w:sz="0" w:space="0" w:color="auto"/>
                <w:left w:val="none" w:sz="0" w:space="0" w:color="auto"/>
                <w:bottom w:val="none" w:sz="0" w:space="0" w:color="auto"/>
                <w:right w:val="none" w:sz="0" w:space="0" w:color="auto"/>
              </w:divBdr>
            </w:div>
          </w:divsChild>
        </w:div>
        <w:div w:id="1361121897">
          <w:marLeft w:val="0"/>
          <w:marRight w:val="0"/>
          <w:marTop w:val="0"/>
          <w:marBottom w:val="0"/>
          <w:divBdr>
            <w:top w:val="none" w:sz="0" w:space="0" w:color="auto"/>
            <w:left w:val="none" w:sz="0" w:space="0" w:color="auto"/>
            <w:bottom w:val="none" w:sz="0" w:space="0" w:color="auto"/>
            <w:right w:val="none" w:sz="0" w:space="0" w:color="auto"/>
          </w:divBdr>
          <w:divsChild>
            <w:div w:id="4235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metamorphosis.org.m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a@metamorphosis.org.m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C13C-A649-4790-ADD2-8D487005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Vaska Cvetanoska Panova</dc:creator>
  <cp:lastModifiedBy>Svetle</cp:lastModifiedBy>
  <cp:revision>2</cp:revision>
  <cp:lastPrinted>2020-07-17T13:01:00Z</cp:lastPrinted>
  <dcterms:created xsi:type="dcterms:W3CDTF">2020-07-17T16:01:00Z</dcterms:created>
  <dcterms:modified xsi:type="dcterms:W3CDTF">2020-07-17T16:01:00Z</dcterms:modified>
</cp:coreProperties>
</file>